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27C58" w14:textId="77777777" w:rsidR="00C46F2A" w:rsidRPr="00E64149" w:rsidRDefault="00C46F2A" w:rsidP="00C46F2A">
      <w:pPr>
        <w:spacing w:line="240" w:lineRule="auto"/>
        <w:contextualSpacing/>
        <w:jc w:val="center"/>
        <w:rPr>
          <w:rFonts w:cstheme="minorHAnsi"/>
          <w:sz w:val="40"/>
          <w:szCs w:val="40"/>
        </w:rPr>
      </w:pPr>
      <w:r w:rsidRPr="00E64149">
        <w:rPr>
          <w:rFonts w:cstheme="minorHAnsi"/>
          <w:sz w:val="40"/>
          <w:szCs w:val="40"/>
        </w:rPr>
        <w:t>Rethinking value for place-based economic recovery:</w:t>
      </w:r>
    </w:p>
    <w:p w14:paraId="082939EE" w14:textId="77777777" w:rsidR="00C46F2A" w:rsidRPr="00E64149" w:rsidRDefault="00C46F2A" w:rsidP="00C46F2A">
      <w:pPr>
        <w:spacing w:line="240" w:lineRule="auto"/>
        <w:contextualSpacing/>
        <w:jc w:val="center"/>
        <w:rPr>
          <w:rFonts w:cstheme="minorHAnsi"/>
          <w:sz w:val="28"/>
          <w:szCs w:val="28"/>
        </w:rPr>
      </w:pPr>
      <w:r w:rsidRPr="00E64149">
        <w:rPr>
          <w:rFonts w:cstheme="minorHAnsi"/>
          <w:sz w:val="28"/>
          <w:szCs w:val="28"/>
        </w:rPr>
        <w:t>A ‘System-of-systems’ approach to housing retrofit and ‘Green Book’ reform</w:t>
      </w:r>
    </w:p>
    <w:p w14:paraId="30A007EC" w14:textId="77777777" w:rsidR="00C46F2A" w:rsidRDefault="00C46F2A" w:rsidP="00C46F2A">
      <w:pPr>
        <w:spacing w:line="240" w:lineRule="auto"/>
        <w:contextualSpacing/>
        <w:jc w:val="center"/>
        <w:rPr>
          <w:rFonts w:cstheme="minorHAnsi"/>
          <w:sz w:val="24"/>
          <w:szCs w:val="24"/>
        </w:rPr>
      </w:pPr>
    </w:p>
    <w:p w14:paraId="4F170C7B" w14:textId="341FCE64" w:rsidR="00C46F2A" w:rsidRPr="00C46F2A" w:rsidRDefault="00C46F2A" w:rsidP="00C46F2A">
      <w:pPr>
        <w:jc w:val="center"/>
        <w:rPr>
          <w:rFonts w:cstheme="minorHAnsi"/>
          <w:sz w:val="24"/>
          <w:szCs w:val="24"/>
        </w:rPr>
      </w:pPr>
      <w:r w:rsidRPr="00C46F2A">
        <w:rPr>
          <w:rFonts w:cstheme="minorHAnsi"/>
          <w:sz w:val="24"/>
          <w:szCs w:val="24"/>
        </w:rPr>
        <w:t xml:space="preserve">Thomas Haines-Doran, Andrew Brown, Gary </w:t>
      </w:r>
      <w:proofErr w:type="spellStart"/>
      <w:r w:rsidRPr="00C46F2A">
        <w:rPr>
          <w:rFonts w:cstheme="minorHAnsi"/>
          <w:sz w:val="24"/>
          <w:szCs w:val="24"/>
        </w:rPr>
        <w:t>Dymski</w:t>
      </w:r>
      <w:proofErr w:type="spellEnd"/>
      <w:r w:rsidRPr="00C46F2A">
        <w:rPr>
          <w:rFonts w:cstheme="minorHAnsi"/>
          <w:sz w:val="24"/>
          <w:szCs w:val="24"/>
        </w:rPr>
        <w:t>, Jamie Morgan, Richard Whittle</w:t>
      </w:r>
    </w:p>
    <w:p w14:paraId="2BDD51F2" w14:textId="085D4DA3" w:rsidR="00C46F2A" w:rsidRDefault="00C46F2A" w:rsidP="00C46F2A">
      <w:pPr>
        <w:spacing w:line="240" w:lineRule="auto"/>
        <w:contextualSpacing/>
        <w:jc w:val="center"/>
        <w:rPr>
          <w:rFonts w:cstheme="minorHAnsi"/>
          <w:sz w:val="24"/>
          <w:szCs w:val="24"/>
        </w:rPr>
      </w:pPr>
      <w:r w:rsidRPr="00C46F2A">
        <w:rPr>
          <w:rFonts w:cstheme="minorHAnsi"/>
          <w:sz w:val="24"/>
          <w:szCs w:val="24"/>
        </w:rPr>
        <w:t>31 October 2020</w:t>
      </w:r>
    </w:p>
    <w:p w14:paraId="7E782514" w14:textId="77777777" w:rsidR="00C46F2A" w:rsidRPr="00C46F2A" w:rsidRDefault="00C46F2A" w:rsidP="00C46F2A">
      <w:pPr>
        <w:spacing w:line="240" w:lineRule="auto"/>
        <w:contextualSpacing/>
        <w:jc w:val="center"/>
        <w:rPr>
          <w:rFonts w:cstheme="minorHAnsi"/>
          <w:sz w:val="24"/>
          <w:szCs w:val="24"/>
        </w:rPr>
      </w:pPr>
    </w:p>
    <w:p w14:paraId="3C081A25" w14:textId="0222B3ED" w:rsidR="00C46F2A" w:rsidRPr="00C46F2A" w:rsidRDefault="00C46F2A" w:rsidP="00C46F2A">
      <w:pPr>
        <w:jc w:val="center"/>
        <w:rPr>
          <w:rFonts w:cstheme="minorHAnsi"/>
          <w:sz w:val="28"/>
          <w:szCs w:val="28"/>
        </w:rPr>
      </w:pPr>
      <w:r w:rsidRPr="00C46F2A">
        <w:rPr>
          <w:rFonts w:cstheme="minorHAnsi"/>
          <w:sz w:val="28"/>
          <w:szCs w:val="28"/>
        </w:rPr>
        <w:t>EXECUTIVE SUMMARY</w:t>
      </w:r>
    </w:p>
    <w:p w14:paraId="5FD1448C" w14:textId="77777777" w:rsidR="00354890" w:rsidRDefault="00C46F2A" w:rsidP="00C46F2A">
      <w:pPr>
        <w:rPr>
          <w:rFonts w:cstheme="minorHAnsi"/>
          <w:sz w:val="24"/>
          <w:szCs w:val="24"/>
        </w:rPr>
      </w:pPr>
      <w:r>
        <w:rPr>
          <w:rFonts w:cstheme="minorHAnsi"/>
          <w:sz w:val="24"/>
          <w:szCs w:val="24"/>
        </w:rPr>
        <w:t xml:space="preserve">This document constitutes a </w:t>
      </w:r>
      <w:r w:rsidRPr="00C46F2A">
        <w:rPr>
          <w:rFonts w:cstheme="minorHAnsi"/>
          <w:sz w:val="24"/>
          <w:szCs w:val="24"/>
        </w:rPr>
        <w:t>policy synthesis report on regional economic recovery</w:t>
      </w:r>
      <w:r>
        <w:rPr>
          <w:rFonts w:cstheme="minorHAnsi"/>
          <w:sz w:val="24"/>
          <w:szCs w:val="24"/>
        </w:rPr>
        <w:t xml:space="preserve"> that has been prepared by economists who are members of the Place-based Economic Recovery Network (PERN). PERN was created by </w:t>
      </w:r>
      <w:r w:rsidR="00EF6CD6">
        <w:rPr>
          <w:rFonts w:cstheme="minorHAnsi"/>
          <w:sz w:val="24"/>
          <w:szCs w:val="24"/>
        </w:rPr>
        <w:t xml:space="preserve">Yorkshire Universities and the West Yorkshire Combined Authority (WYCA) in </w:t>
      </w:r>
      <w:r w:rsidR="00354890">
        <w:rPr>
          <w:rFonts w:cstheme="minorHAnsi"/>
          <w:sz w:val="24"/>
          <w:szCs w:val="24"/>
        </w:rPr>
        <w:t xml:space="preserve">June </w:t>
      </w:r>
      <w:r w:rsidR="00EF6CD6">
        <w:rPr>
          <w:rFonts w:cstheme="minorHAnsi"/>
          <w:sz w:val="24"/>
          <w:szCs w:val="24"/>
        </w:rPr>
        <w:t xml:space="preserve">2020, as a vehicle for </w:t>
      </w:r>
      <w:proofErr w:type="spellStart"/>
      <w:r w:rsidR="00EF6CD6">
        <w:rPr>
          <w:rFonts w:cstheme="minorHAnsi"/>
          <w:sz w:val="24"/>
          <w:szCs w:val="24"/>
        </w:rPr>
        <w:t>channeling</w:t>
      </w:r>
      <w:proofErr w:type="spellEnd"/>
      <w:r w:rsidR="00EF6CD6">
        <w:rPr>
          <w:rFonts w:cstheme="minorHAnsi"/>
          <w:sz w:val="24"/>
          <w:szCs w:val="24"/>
        </w:rPr>
        <w:t xml:space="preserve"> West Yorkshire universities’ expertise into WYCA</w:t>
      </w:r>
      <w:r w:rsidR="00354890">
        <w:rPr>
          <w:rFonts w:cstheme="minorHAnsi"/>
          <w:sz w:val="24"/>
          <w:szCs w:val="24"/>
        </w:rPr>
        <w:t xml:space="preserve">’s plans for leading </w:t>
      </w:r>
      <w:r w:rsidR="00EF6CD6">
        <w:rPr>
          <w:rFonts w:cstheme="minorHAnsi"/>
          <w:sz w:val="24"/>
          <w:szCs w:val="24"/>
        </w:rPr>
        <w:t xml:space="preserve">regional economic recovery </w:t>
      </w:r>
      <w:r w:rsidR="00354890">
        <w:rPr>
          <w:rFonts w:cstheme="minorHAnsi"/>
          <w:sz w:val="24"/>
          <w:szCs w:val="24"/>
        </w:rPr>
        <w:t xml:space="preserve">from the Covid-19 pandemic. PERN’s initial contribution was a series of 4 closed webinars featuring 28 speakers; these explored </w:t>
      </w:r>
      <w:proofErr w:type="gramStart"/>
      <w:r w:rsidR="00354890">
        <w:rPr>
          <w:rFonts w:cstheme="minorHAnsi"/>
          <w:sz w:val="24"/>
          <w:szCs w:val="24"/>
        </w:rPr>
        <w:t>how  social</w:t>
      </w:r>
      <w:proofErr w:type="gramEnd"/>
      <w:r w:rsidR="00354890">
        <w:rPr>
          <w:rFonts w:cstheme="minorHAnsi"/>
          <w:sz w:val="24"/>
          <w:szCs w:val="24"/>
        </w:rPr>
        <w:t xml:space="preserve"> and economic sustainability can be built into recovery efforts. </w:t>
      </w:r>
    </w:p>
    <w:p w14:paraId="00717BB3" w14:textId="6D7BFD5B" w:rsidR="00FB1BAA" w:rsidRDefault="00354890" w:rsidP="00C46F2A">
      <w:pPr>
        <w:rPr>
          <w:rFonts w:cstheme="minorHAnsi"/>
          <w:sz w:val="24"/>
          <w:szCs w:val="24"/>
        </w:rPr>
      </w:pPr>
      <w:r>
        <w:rPr>
          <w:rFonts w:cstheme="minorHAnsi"/>
          <w:sz w:val="24"/>
          <w:szCs w:val="24"/>
        </w:rPr>
        <w:t>Underlying the suggestions of many speakers was t</w:t>
      </w:r>
      <w:r w:rsidR="00FB1BAA">
        <w:rPr>
          <w:rFonts w:cstheme="minorHAnsi"/>
          <w:sz w:val="24"/>
          <w:szCs w:val="24"/>
        </w:rPr>
        <w:t>hat the arrival of Covid-19 on top of the pre-existing double crises of inequality and climate change requires new approaches to planning and implementing recovery activities. Once the webinar series was over, m</w:t>
      </w:r>
      <w:r>
        <w:rPr>
          <w:rFonts w:cstheme="minorHAnsi"/>
          <w:sz w:val="24"/>
          <w:szCs w:val="24"/>
        </w:rPr>
        <w:t xml:space="preserve">embers of </w:t>
      </w:r>
      <w:r w:rsidR="00FB1BAA">
        <w:rPr>
          <w:rFonts w:cstheme="minorHAnsi"/>
          <w:sz w:val="24"/>
          <w:szCs w:val="24"/>
        </w:rPr>
        <w:t>PERN’s economics sub</w:t>
      </w:r>
      <w:r>
        <w:rPr>
          <w:rFonts w:cstheme="minorHAnsi"/>
          <w:sz w:val="24"/>
          <w:szCs w:val="24"/>
        </w:rPr>
        <w:t>group</w:t>
      </w:r>
      <w:r w:rsidR="00FB1BAA">
        <w:rPr>
          <w:rFonts w:cstheme="minorHAnsi"/>
          <w:sz w:val="24"/>
          <w:szCs w:val="24"/>
        </w:rPr>
        <w:t xml:space="preserve"> obtained a short-term </w:t>
      </w:r>
      <w:r>
        <w:rPr>
          <w:rFonts w:cstheme="minorHAnsi"/>
          <w:sz w:val="24"/>
          <w:szCs w:val="24"/>
        </w:rPr>
        <w:t xml:space="preserve">IAA grant </w:t>
      </w:r>
      <w:r w:rsidR="00FB1BAA">
        <w:rPr>
          <w:rFonts w:cstheme="minorHAnsi"/>
          <w:sz w:val="24"/>
          <w:szCs w:val="24"/>
        </w:rPr>
        <w:t xml:space="preserve">from the University of Leeds, enabling them to begin taking some steps toward mapping out an alternative approach. </w:t>
      </w:r>
    </w:p>
    <w:p w14:paraId="1DDFE1FF" w14:textId="771C25B2" w:rsidR="00C46F2A" w:rsidRPr="00C46F2A" w:rsidRDefault="00FB1BAA" w:rsidP="00C46F2A">
      <w:pPr>
        <w:rPr>
          <w:rFonts w:cstheme="minorHAnsi"/>
          <w:sz w:val="24"/>
          <w:szCs w:val="24"/>
        </w:rPr>
      </w:pPr>
      <w:r>
        <w:rPr>
          <w:rFonts w:cstheme="minorHAnsi"/>
          <w:sz w:val="24"/>
          <w:szCs w:val="24"/>
        </w:rPr>
        <w:t>Th</w:t>
      </w:r>
      <w:r w:rsidR="008443C8">
        <w:rPr>
          <w:rFonts w:cstheme="minorHAnsi"/>
          <w:sz w:val="24"/>
          <w:szCs w:val="24"/>
        </w:rPr>
        <w:t xml:space="preserve">is </w:t>
      </w:r>
      <w:r>
        <w:rPr>
          <w:rFonts w:cstheme="minorHAnsi"/>
          <w:sz w:val="24"/>
          <w:szCs w:val="24"/>
        </w:rPr>
        <w:t>IAA</w:t>
      </w:r>
      <w:r w:rsidR="008443C8">
        <w:rPr>
          <w:rFonts w:cstheme="minorHAnsi"/>
          <w:sz w:val="24"/>
          <w:szCs w:val="24"/>
        </w:rPr>
        <w:t xml:space="preserve">-funded research then focused on identifying some of the core elements of that alternative, and then illustrating how this might work by using two examples: the cases of housing retrofit and of </w:t>
      </w:r>
      <w:r w:rsidR="00C46F2A" w:rsidRPr="00C46F2A">
        <w:rPr>
          <w:rFonts w:cstheme="minorHAnsi"/>
          <w:sz w:val="24"/>
          <w:szCs w:val="24"/>
        </w:rPr>
        <w:t>Green and Blue infrastructure valuation</w:t>
      </w:r>
      <w:r w:rsidR="008443C8">
        <w:rPr>
          <w:rFonts w:cstheme="minorHAnsi"/>
          <w:sz w:val="24"/>
          <w:szCs w:val="24"/>
        </w:rPr>
        <w:t xml:space="preserve">. The latter is of special interest as it has led to an effort to rethink the basis of economic value in infrastructure projects in the HM Treasury Green Book. </w:t>
      </w:r>
    </w:p>
    <w:p w14:paraId="30EDC456" w14:textId="0E6BB174" w:rsidR="00C46F2A" w:rsidRPr="008443C8" w:rsidRDefault="008443C8" w:rsidP="00C46F2A">
      <w:pPr>
        <w:rPr>
          <w:rFonts w:cstheme="minorHAnsi"/>
          <w:sz w:val="24"/>
          <w:szCs w:val="24"/>
        </w:rPr>
      </w:pPr>
      <w:r w:rsidRPr="008443C8">
        <w:rPr>
          <w:rFonts w:cstheme="minorHAnsi"/>
          <w:sz w:val="24"/>
          <w:szCs w:val="24"/>
        </w:rPr>
        <w:t xml:space="preserve">This </w:t>
      </w:r>
      <w:r>
        <w:rPr>
          <w:rFonts w:cstheme="minorHAnsi"/>
          <w:sz w:val="24"/>
          <w:szCs w:val="24"/>
        </w:rPr>
        <w:t xml:space="preserve">report argues that there are two anchors of an alternative approach to economic recovery: a rethinking of the basis of economic value; and building place-based analysis and participation into the planning and implementation process. </w:t>
      </w:r>
      <w:r w:rsidR="00C46F2A" w:rsidRPr="008443C8">
        <w:rPr>
          <w:rFonts w:cstheme="minorHAnsi"/>
          <w:sz w:val="24"/>
          <w:szCs w:val="24"/>
        </w:rPr>
        <w:t xml:space="preserve"> </w:t>
      </w:r>
    </w:p>
    <w:p w14:paraId="73B57D00" w14:textId="097624AA" w:rsidR="00C46F2A" w:rsidRPr="008443C8" w:rsidRDefault="00205C32" w:rsidP="008443C8">
      <w:pPr>
        <w:rPr>
          <w:rFonts w:cstheme="minorHAnsi"/>
          <w:sz w:val="24"/>
          <w:szCs w:val="24"/>
        </w:rPr>
      </w:pPr>
      <w:r>
        <w:rPr>
          <w:rFonts w:cstheme="minorHAnsi"/>
          <w:sz w:val="24"/>
          <w:szCs w:val="24"/>
        </w:rPr>
        <w:t>The key step in rethinking economic value is to introduce a ‘</w:t>
      </w:r>
      <w:r w:rsidR="00C46F2A" w:rsidRPr="008443C8">
        <w:rPr>
          <w:rFonts w:cstheme="minorHAnsi"/>
          <w:sz w:val="24"/>
          <w:szCs w:val="24"/>
        </w:rPr>
        <w:t xml:space="preserve">system of system’ </w:t>
      </w:r>
      <w:r>
        <w:rPr>
          <w:rFonts w:cstheme="minorHAnsi"/>
          <w:sz w:val="24"/>
          <w:szCs w:val="24"/>
        </w:rPr>
        <w:t xml:space="preserve">vision of economic and social processes, doing so by focusing on how provisioning activities in the economy fit into overall patterns of social reproduction and community building. </w:t>
      </w:r>
      <w:proofErr w:type="spellStart"/>
      <w:r>
        <w:rPr>
          <w:rFonts w:cstheme="minorHAnsi"/>
          <w:sz w:val="24"/>
          <w:szCs w:val="24"/>
        </w:rPr>
        <w:t>THis</w:t>
      </w:r>
      <w:proofErr w:type="spellEnd"/>
      <w:r>
        <w:rPr>
          <w:rFonts w:cstheme="minorHAnsi"/>
          <w:sz w:val="24"/>
          <w:szCs w:val="24"/>
        </w:rPr>
        <w:t xml:space="preserve"> approach permits </w:t>
      </w:r>
      <w:r w:rsidR="00C46F2A" w:rsidRPr="008443C8">
        <w:rPr>
          <w:rFonts w:cstheme="minorHAnsi"/>
          <w:sz w:val="24"/>
          <w:szCs w:val="24"/>
        </w:rPr>
        <w:t xml:space="preserve">economic growth </w:t>
      </w:r>
      <w:r>
        <w:rPr>
          <w:rFonts w:cstheme="minorHAnsi"/>
          <w:sz w:val="24"/>
          <w:szCs w:val="24"/>
        </w:rPr>
        <w:t xml:space="preserve">to be linked </w:t>
      </w:r>
      <w:r w:rsidR="00C46F2A" w:rsidRPr="008443C8">
        <w:rPr>
          <w:rFonts w:cstheme="minorHAnsi"/>
          <w:sz w:val="24"/>
          <w:szCs w:val="24"/>
        </w:rPr>
        <w:t xml:space="preserve">to </w:t>
      </w:r>
      <w:r>
        <w:rPr>
          <w:rFonts w:cstheme="minorHAnsi"/>
          <w:sz w:val="24"/>
          <w:szCs w:val="24"/>
        </w:rPr>
        <w:t xml:space="preserve">the urgent need to </w:t>
      </w:r>
      <w:r w:rsidR="00C46F2A" w:rsidRPr="008443C8">
        <w:rPr>
          <w:rFonts w:cstheme="minorHAnsi"/>
          <w:sz w:val="24"/>
          <w:szCs w:val="24"/>
        </w:rPr>
        <w:t>meet climate and social-inclusion metrics.</w:t>
      </w:r>
      <w:r>
        <w:rPr>
          <w:rFonts w:cstheme="minorHAnsi"/>
          <w:sz w:val="24"/>
          <w:szCs w:val="24"/>
        </w:rPr>
        <w:t xml:space="preserve"> The acknowledged need to engage in housing retrofit across the region provides a useful case example of the challenges entailed in financing and implementing forward-looking policies assisting both households and businesses. </w:t>
      </w:r>
    </w:p>
    <w:p w14:paraId="649D8AFA" w14:textId="1E21C38C" w:rsidR="00C46F2A" w:rsidRPr="008443C8" w:rsidRDefault="00205C32" w:rsidP="004C7B7D">
      <w:pPr>
        <w:rPr>
          <w:rFonts w:cstheme="minorHAnsi"/>
          <w:sz w:val="24"/>
          <w:szCs w:val="24"/>
        </w:rPr>
      </w:pPr>
      <w:r>
        <w:rPr>
          <w:rFonts w:cstheme="minorHAnsi"/>
          <w:sz w:val="24"/>
          <w:szCs w:val="24"/>
        </w:rPr>
        <w:t xml:space="preserve">This short-term study shows how these </w:t>
      </w:r>
      <w:r w:rsidR="00C46F2A" w:rsidRPr="008443C8">
        <w:rPr>
          <w:rFonts w:cstheme="minorHAnsi"/>
          <w:sz w:val="24"/>
          <w:szCs w:val="24"/>
        </w:rPr>
        <w:t>principles can help steer academic research for public purpose and public value</w:t>
      </w:r>
      <w:r>
        <w:rPr>
          <w:rFonts w:cstheme="minorHAnsi"/>
          <w:sz w:val="24"/>
          <w:szCs w:val="24"/>
        </w:rPr>
        <w:t xml:space="preserve">. The </w:t>
      </w:r>
      <w:r w:rsidR="00C46F2A" w:rsidRPr="008443C8">
        <w:rPr>
          <w:rFonts w:cstheme="minorHAnsi"/>
          <w:sz w:val="24"/>
          <w:szCs w:val="24"/>
        </w:rPr>
        <w:t>PERN academic steering group</w:t>
      </w:r>
      <w:r w:rsidR="004C7B7D">
        <w:rPr>
          <w:rFonts w:cstheme="minorHAnsi"/>
          <w:sz w:val="24"/>
          <w:szCs w:val="24"/>
        </w:rPr>
        <w:t xml:space="preserve"> is committed to helping academics across West Yorkshire’s universities make productive links both with policymakers and with the diverse communities they represent across the region.</w:t>
      </w:r>
    </w:p>
    <w:p w14:paraId="6FFCE07D" w14:textId="3EE9677A" w:rsidR="003574AF" w:rsidRPr="00E64149" w:rsidRDefault="003574AF" w:rsidP="00E64149">
      <w:pPr>
        <w:spacing w:line="240" w:lineRule="auto"/>
        <w:contextualSpacing/>
        <w:jc w:val="center"/>
        <w:rPr>
          <w:rFonts w:cstheme="minorHAnsi"/>
          <w:sz w:val="40"/>
          <w:szCs w:val="40"/>
        </w:rPr>
      </w:pPr>
      <w:r w:rsidRPr="00E64149">
        <w:rPr>
          <w:rFonts w:cstheme="minorHAnsi"/>
          <w:sz w:val="40"/>
          <w:szCs w:val="40"/>
        </w:rPr>
        <w:lastRenderedPageBreak/>
        <w:t xml:space="preserve">Rethinking value </w:t>
      </w:r>
      <w:r w:rsidR="00AA7611" w:rsidRPr="00E64149">
        <w:rPr>
          <w:rFonts w:cstheme="minorHAnsi"/>
          <w:sz w:val="40"/>
          <w:szCs w:val="40"/>
        </w:rPr>
        <w:t xml:space="preserve">for </w:t>
      </w:r>
      <w:r w:rsidRPr="00E64149">
        <w:rPr>
          <w:rFonts w:cstheme="minorHAnsi"/>
          <w:sz w:val="40"/>
          <w:szCs w:val="40"/>
        </w:rPr>
        <w:t>place-based economic recovery:</w:t>
      </w:r>
    </w:p>
    <w:p w14:paraId="533D12FF" w14:textId="13E80061" w:rsidR="003574AF" w:rsidRPr="00E64149" w:rsidRDefault="00E64149" w:rsidP="00E64149">
      <w:pPr>
        <w:spacing w:line="240" w:lineRule="auto"/>
        <w:contextualSpacing/>
        <w:jc w:val="center"/>
        <w:rPr>
          <w:rFonts w:cstheme="minorHAnsi"/>
          <w:sz w:val="28"/>
          <w:szCs w:val="28"/>
        </w:rPr>
      </w:pPr>
      <w:r w:rsidRPr="00E64149">
        <w:rPr>
          <w:rFonts w:cstheme="minorHAnsi"/>
          <w:sz w:val="28"/>
          <w:szCs w:val="28"/>
        </w:rPr>
        <w:t xml:space="preserve">A </w:t>
      </w:r>
      <w:r w:rsidR="003574AF" w:rsidRPr="00E64149">
        <w:rPr>
          <w:rFonts w:cstheme="minorHAnsi"/>
          <w:sz w:val="28"/>
          <w:szCs w:val="28"/>
        </w:rPr>
        <w:t xml:space="preserve">‘System-of-systems’ </w:t>
      </w:r>
      <w:r w:rsidRPr="00E64149">
        <w:rPr>
          <w:rFonts w:cstheme="minorHAnsi"/>
          <w:sz w:val="28"/>
          <w:szCs w:val="28"/>
        </w:rPr>
        <w:t xml:space="preserve">approach to </w:t>
      </w:r>
      <w:r w:rsidR="003574AF" w:rsidRPr="00E64149">
        <w:rPr>
          <w:rFonts w:cstheme="minorHAnsi"/>
          <w:sz w:val="28"/>
          <w:szCs w:val="28"/>
        </w:rPr>
        <w:t>housing retrofit and ‘Green Book’ reform</w:t>
      </w:r>
    </w:p>
    <w:p w14:paraId="46635058" w14:textId="0486F8FC" w:rsidR="00E64149" w:rsidRDefault="00E64149" w:rsidP="00E64149">
      <w:pPr>
        <w:spacing w:line="240" w:lineRule="auto"/>
        <w:contextualSpacing/>
        <w:jc w:val="center"/>
        <w:rPr>
          <w:rFonts w:cstheme="minorHAnsi"/>
          <w:sz w:val="24"/>
          <w:szCs w:val="24"/>
        </w:rPr>
      </w:pPr>
    </w:p>
    <w:p w14:paraId="037C52EA" w14:textId="639F72BF" w:rsidR="00C46F2A" w:rsidRDefault="00E64149" w:rsidP="00C46F2A">
      <w:pPr>
        <w:ind w:left="1440"/>
        <w:rPr>
          <w:rFonts w:cstheme="minorHAnsi"/>
          <w:sz w:val="28"/>
          <w:szCs w:val="28"/>
        </w:rPr>
      </w:pPr>
      <w:proofErr w:type="spellStart"/>
      <w:r w:rsidRPr="00E64149">
        <w:rPr>
          <w:rFonts w:cstheme="minorHAnsi"/>
          <w:sz w:val="28"/>
          <w:szCs w:val="28"/>
        </w:rPr>
        <w:t>Dr.</w:t>
      </w:r>
      <w:proofErr w:type="spellEnd"/>
      <w:r w:rsidRPr="00E64149">
        <w:rPr>
          <w:rFonts w:cstheme="minorHAnsi"/>
          <w:sz w:val="28"/>
          <w:szCs w:val="28"/>
        </w:rPr>
        <w:t xml:space="preserve"> Thomas Haines-Doran, Professor Andrew Brown, and Professor Gary </w:t>
      </w:r>
      <w:proofErr w:type="spellStart"/>
      <w:r w:rsidRPr="00E64149">
        <w:rPr>
          <w:rFonts w:cstheme="minorHAnsi"/>
          <w:sz w:val="28"/>
          <w:szCs w:val="28"/>
        </w:rPr>
        <w:t>Dymski</w:t>
      </w:r>
      <w:proofErr w:type="spellEnd"/>
      <w:r w:rsidRPr="00E64149">
        <w:rPr>
          <w:rFonts w:cstheme="minorHAnsi"/>
          <w:sz w:val="28"/>
          <w:szCs w:val="28"/>
        </w:rPr>
        <w:t>, University of Leeds</w:t>
      </w:r>
    </w:p>
    <w:p w14:paraId="2DD85547" w14:textId="77777777" w:rsidR="00C46F2A" w:rsidRDefault="00E64149" w:rsidP="00C46F2A">
      <w:pPr>
        <w:ind w:left="1440"/>
        <w:rPr>
          <w:rFonts w:cstheme="minorHAnsi"/>
          <w:sz w:val="28"/>
          <w:szCs w:val="28"/>
        </w:rPr>
      </w:pPr>
      <w:r w:rsidRPr="00E64149">
        <w:rPr>
          <w:rFonts w:cstheme="minorHAnsi"/>
          <w:sz w:val="28"/>
          <w:szCs w:val="28"/>
        </w:rPr>
        <w:t>Professor Jamie Morgan, Leeds Beckett University</w:t>
      </w:r>
    </w:p>
    <w:p w14:paraId="5F0F1512" w14:textId="212E9A73" w:rsidR="00C46F2A" w:rsidRDefault="00E64149" w:rsidP="00C46F2A">
      <w:pPr>
        <w:ind w:left="1440"/>
        <w:rPr>
          <w:rFonts w:cstheme="minorHAnsi"/>
          <w:sz w:val="28"/>
          <w:szCs w:val="28"/>
        </w:rPr>
      </w:pPr>
      <w:proofErr w:type="spellStart"/>
      <w:r w:rsidRPr="00E64149">
        <w:rPr>
          <w:rFonts w:cstheme="minorHAnsi"/>
          <w:sz w:val="28"/>
          <w:szCs w:val="28"/>
        </w:rPr>
        <w:t>Dr.</w:t>
      </w:r>
      <w:proofErr w:type="spellEnd"/>
      <w:r w:rsidRPr="00E64149">
        <w:rPr>
          <w:rFonts w:cstheme="minorHAnsi"/>
          <w:sz w:val="28"/>
          <w:szCs w:val="28"/>
        </w:rPr>
        <w:t xml:space="preserve"> Richard Whittle, Manchester Metropolitan University</w:t>
      </w:r>
      <w:r w:rsidRPr="00E64149">
        <w:rPr>
          <w:rStyle w:val="FootnoteReference"/>
          <w:rFonts w:cstheme="minorHAnsi"/>
          <w:sz w:val="28"/>
          <w:szCs w:val="28"/>
        </w:rPr>
        <w:footnoteReference w:customMarkFollows="1" w:id="1"/>
        <w:t>*</w:t>
      </w:r>
    </w:p>
    <w:p w14:paraId="41ADCCCD" w14:textId="77777777" w:rsidR="00C46F2A" w:rsidRDefault="00C46F2A" w:rsidP="00C46F2A">
      <w:pPr>
        <w:spacing w:line="240" w:lineRule="auto"/>
        <w:contextualSpacing/>
        <w:jc w:val="center"/>
        <w:rPr>
          <w:rFonts w:cstheme="minorHAnsi"/>
          <w:sz w:val="28"/>
          <w:szCs w:val="28"/>
        </w:rPr>
      </w:pPr>
    </w:p>
    <w:p w14:paraId="38AB97BD" w14:textId="13E7E0F5" w:rsidR="00C46F2A" w:rsidRPr="00C46F2A" w:rsidRDefault="00C46F2A" w:rsidP="00C46F2A">
      <w:pPr>
        <w:spacing w:line="240" w:lineRule="auto"/>
        <w:contextualSpacing/>
        <w:jc w:val="center"/>
        <w:rPr>
          <w:rFonts w:cstheme="minorHAnsi"/>
          <w:sz w:val="28"/>
          <w:szCs w:val="28"/>
        </w:rPr>
      </w:pPr>
      <w:r w:rsidRPr="00C46F2A">
        <w:rPr>
          <w:rFonts w:cstheme="minorHAnsi"/>
          <w:sz w:val="28"/>
          <w:szCs w:val="28"/>
        </w:rPr>
        <w:t>31 October 2020</w:t>
      </w:r>
    </w:p>
    <w:p w14:paraId="335400B3" w14:textId="77777777" w:rsidR="00C46F2A" w:rsidRDefault="00C46F2A" w:rsidP="00E12974">
      <w:pPr>
        <w:rPr>
          <w:rFonts w:cstheme="minorHAnsi"/>
          <w:b/>
          <w:bCs/>
          <w:sz w:val="28"/>
          <w:szCs w:val="28"/>
        </w:rPr>
      </w:pPr>
    </w:p>
    <w:p w14:paraId="52501B17" w14:textId="7B4895AB" w:rsidR="007C23F7" w:rsidRDefault="001A4044" w:rsidP="00E12974">
      <w:pPr>
        <w:rPr>
          <w:rFonts w:cstheme="minorHAnsi"/>
          <w:b/>
          <w:bCs/>
          <w:sz w:val="28"/>
          <w:szCs w:val="28"/>
        </w:rPr>
      </w:pPr>
      <w:r>
        <w:rPr>
          <w:rFonts w:cstheme="minorHAnsi"/>
          <w:b/>
          <w:bCs/>
          <w:sz w:val="28"/>
          <w:szCs w:val="28"/>
        </w:rPr>
        <w:t xml:space="preserve">1. </w:t>
      </w:r>
      <w:r w:rsidR="007C23F7">
        <w:rPr>
          <w:rFonts w:cstheme="minorHAnsi"/>
          <w:b/>
          <w:bCs/>
          <w:sz w:val="28"/>
          <w:szCs w:val="28"/>
        </w:rPr>
        <w:t>INTRODUCTION</w:t>
      </w:r>
    </w:p>
    <w:p w14:paraId="255E4A49" w14:textId="7F5A2ED3" w:rsidR="005965A8" w:rsidRPr="00E64149" w:rsidRDefault="008556EA" w:rsidP="00E12974">
      <w:pPr>
        <w:rPr>
          <w:rFonts w:cstheme="minorHAnsi"/>
          <w:sz w:val="24"/>
          <w:szCs w:val="24"/>
        </w:rPr>
      </w:pPr>
      <w:r w:rsidRPr="00E64149">
        <w:rPr>
          <w:rFonts w:cstheme="minorHAnsi"/>
          <w:sz w:val="24"/>
          <w:szCs w:val="24"/>
        </w:rPr>
        <w:t xml:space="preserve">This study explains two key building blocks required for restoring the vibrancy of British economic life after the </w:t>
      </w:r>
      <w:proofErr w:type="spellStart"/>
      <w:r w:rsidRPr="00E64149">
        <w:rPr>
          <w:rFonts w:cstheme="minorHAnsi"/>
          <w:sz w:val="24"/>
          <w:szCs w:val="24"/>
        </w:rPr>
        <w:t>Covid</w:t>
      </w:r>
      <w:proofErr w:type="spellEnd"/>
      <w:r w:rsidRPr="00E64149">
        <w:rPr>
          <w:rFonts w:cstheme="minorHAnsi"/>
          <w:sz w:val="24"/>
          <w:szCs w:val="24"/>
        </w:rPr>
        <w:t xml:space="preserve">: rethinking value and strengthening the capacity </w:t>
      </w:r>
      <w:r w:rsidR="005965A8" w:rsidRPr="00E64149">
        <w:rPr>
          <w:rFonts w:cstheme="minorHAnsi"/>
          <w:sz w:val="24"/>
          <w:szCs w:val="24"/>
        </w:rPr>
        <w:t xml:space="preserve">for </w:t>
      </w:r>
      <w:r w:rsidRPr="00E64149">
        <w:rPr>
          <w:rFonts w:cstheme="minorHAnsi"/>
          <w:sz w:val="24"/>
          <w:szCs w:val="24"/>
        </w:rPr>
        <w:t>‘place-based’</w:t>
      </w:r>
      <w:r w:rsidR="005965A8" w:rsidRPr="00E64149">
        <w:rPr>
          <w:rFonts w:cstheme="minorHAnsi"/>
          <w:sz w:val="24"/>
          <w:szCs w:val="24"/>
        </w:rPr>
        <w:t xml:space="preserve"> renewal. Putting these building blocks into place will require reimagining centralization and localization in economic </w:t>
      </w:r>
      <w:proofErr w:type="gramStart"/>
      <w:r w:rsidR="005965A8" w:rsidRPr="00E64149">
        <w:rPr>
          <w:rFonts w:cstheme="minorHAnsi"/>
          <w:sz w:val="24"/>
          <w:szCs w:val="24"/>
        </w:rPr>
        <w:t>decision-making, and</w:t>
      </w:r>
      <w:proofErr w:type="gramEnd"/>
      <w:r w:rsidR="005965A8" w:rsidRPr="00E64149">
        <w:rPr>
          <w:rFonts w:cstheme="minorHAnsi"/>
          <w:sz w:val="24"/>
          <w:szCs w:val="24"/>
        </w:rPr>
        <w:t xml:space="preserve"> seeing economic relations as inseparable from social relations in everyday life. </w:t>
      </w:r>
    </w:p>
    <w:p w14:paraId="517EE383" w14:textId="77777777" w:rsidR="0064277F" w:rsidRDefault="00C02F4B" w:rsidP="00E12974">
      <w:pPr>
        <w:rPr>
          <w:rFonts w:cstheme="minorHAnsi"/>
          <w:sz w:val="24"/>
          <w:szCs w:val="24"/>
        </w:rPr>
      </w:pPr>
      <w:r w:rsidRPr="00E64149">
        <w:rPr>
          <w:rFonts w:cstheme="minorHAnsi"/>
          <w:sz w:val="24"/>
          <w:szCs w:val="24"/>
        </w:rPr>
        <w:t xml:space="preserve">To explore how a place-based rethinking of value might be put into practice, the authors of this report have participated in, and learned from, the deliberations of the West Yorkshire Combined Authority and of its local authorities; they have also joined with colleagues from West Yorkshire universities – guided by Yorkshire Universities – in </w:t>
      </w:r>
      <w:r w:rsidR="00346FAC" w:rsidRPr="00E64149">
        <w:rPr>
          <w:rFonts w:cstheme="minorHAnsi"/>
          <w:sz w:val="24"/>
          <w:szCs w:val="24"/>
        </w:rPr>
        <w:t>creating the Place-Based Economic Recovery Network (PERN)</w:t>
      </w:r>
      <w:r w:rsidR="0064277F">
        <w:rPr>
          <w:rFonts w:cstheme="minorHAnsi"/>
          <w:sz w:val="24"/>
          <w:szCs w:val="24"/>
        </w:rPr>
        <w:t xml:space="preserve">. It will be useful to introduce PERN at this stage of this report, as it is an unusual, if not innovative, institutional response to the societal challenges posed by the Covid-19 pandemic. </w:t>
      </w:r>
    </w:p>
    <w:p w14:paraId="2948F6D7" w14:textId="7D1F6D73" w:rsidR="0064277F" w:rsidRPr="0064277F" w:rsidRDefault="0064277F" w:rsidP="0064277F">
      <w:pPr>
        <w:rPr>
          <w:rFonts w:cstheme="minorHAnsi"/>
          <w:sz w:val="24"/>
          <w:szCs w:val="24"/>
        </w:rPr>
      </w:pPr>
      <w:r w:rsidRPr="0064277F">
        <w:rPr>
          <w:rFonts w:cstheme="minorHAnsi"/>
          <w:b/>
          <w:bCs/>
          <w:sz w:val="24"/>
          <w:szCs w:val="24"/>
        </w:rPr>
        <w:t xml:space="preserve">The Place-based Economic Recovery Network (PERN). </w:t>
      </w:r>
      <w:r w:rsidRPr="0064277F">
        <w:rPr>
          <w:rFonts w:cstheme="minorHAnsi"/>
          <w:sz w:val="24"/>
          <w:szCs w:val="24"/>
        </w:rPr>
        <w:t xml:space="preserve">When the Covid-19 pandemic arrived many academics in West Yorkshire universities had established working relationships, with one another and with officers in the combined authority and local authorities in the region, exploring ways of bolstering the care economy, climate preparedness, and social inclusion. Under the leadership of ‘Yorkshire Universities’ and the West Yorkshire Combined Authority WYCA), we created a vehicle for developing a joined-up, cross-university, cross-sector strategy for economic recovery: the ‘Place-based Economics Recovery Network’ (PERN). PERN brings together experts from WYCA, Leeds City region Enterprise Partnership, ‘Yorkshire Universities,’ and universities within and outside of Yorkshire, with the aim of playing a key role as ‘anchor institutions’ in regional recovery and </w:t>
      </w:r>
      <w:r w:rsidRPr="0064277F">
        <w:rPr>
          <w:rFonts w:cstheme="minorHAnsi"/>
          <w:sz w:val="24"/>
          <w:szCs w:val="24"/>
        </w:rPr>
        <w:lastRenderedPageBreak/>
        <w:t>development.</w:t>
      </w:r>
      <w:r w:rsidRPr="0064277F">
        <w:rPr>
          <w:rStyle w:val="FootnoteReference"/>
          <w:rFonts w:cstheme="minorHAnsi"/>
          <w:sz w:val="24"/>
          <w:szCs w:val="24"/>
        </w:rPr>
        <w:footnoteReference w:id="2"/>
      </w:r>
      <w:r w:rsidRPr="0064277F">
        <w:rPr>
          <w:rFonts w:cstheme="minorHAnsi"/>
          <w:sz w:val="24"/>
          <w:szCs w:val="24"/>
        </w:rPr>
        <w:t xml:space="preserve"> For its first activity, PERN held a series of webinars in July 2020, where 30 academic experts addressed key elements of regional economic recovery strategy feeding into the West Yorkshire economic recovery board. We are now in the process of developing ways to harness this wealth of academic expertise to further regional economic recovery. This chapter will bring out the underlying ‘system-of-system’ economic principles of value that can and do cohere multiple disciplines and approaches to economic recovery within PERN.</w:t>
      </w:r>
    </w:p>
    <w:p w14:paraId="0444E104" w14:textId="1DA57DA2" w:rsidR="008556EA" w:rsidRPr="008556EA" w:rsidRDefault="001A4044" w:rsidP="00E12974">
      <w:pPr>
        <w:rPr>
          <w:rFonts w:cstheme="minorHAnsi"/>
          <w:sz w:val="28"/>
          <w:szCs w:val="28"/>
        </w:rPr>
      </w:pPr>
      <w:r>
        <w:rPr>
          <w:rFonts w:cstheme="minorHAnsi"/>
          <w:b/>
          <w:bCs/>
          <w:sz w:val="24"/>
          <w:szCs w:val="24"/>
        </w:rPr>
        <w:t xml:space="preserve">The structure of this report. </w:t>
      </w:r>
      <w:r>
        <w:rPr>
          <w:rFonts w:cstheme="minorHAnsi"/>
          <w:sz w:val="24"/>
          <w:szCs w:val="24"/>
        </w:rPr>
        <w:t xml:space="preserve">The remainder of this document presents the report that members of PERN have assembled. The next section sets out </w:t>
      </w:r>
      <w:r w:rsidR="005965A8" w:rsidRPr="00E64149">
        <w:rPr>
          <w:rFonts w:cstheme="minorHAnsi"/>
          <w:sz w:val="24"/>
          <w:szCs w:val="24"/>
        </w:rPr>
        <w:t xml:space="preserve">the </w:t>
      </w:r>
      <w:r w:rsidR="0064277F">
        <w:rPr>
          <w:rFonts w:cstheme="minorHAnsi"/>
          <w:sz w:val="24"/>
          <w:szCs w:val="24"/>
        </w:rPr>
        <w:t>two key premises of</w:t>
      </w:r>
      <w:r w:rsidR="005965A8" w:rsidRPr="00E64149">
        <w:rPr>
          <w:rFonts w:cstheme="minorHAnsi"/>
          <w:sz w:val="24"/>
          <w:szCs w:val="24"/>
        </w:rPr>
        <w:t xml:space="preserve"> this approach. We then go into detail on how the logic of economic recovery can be developed on the basis of these two anchoring insights. After setting out the general principles of this approach, we turn next to a case example of a localized approach – housing retrofit. </w:t>
      </w:r>
      <w:r w:rsidR="00346FAC" w:rsidRPr="00E64149">
        <w:rPr>
          <w:rFonts w:cstheme="minorHAnsi"/>
          <w:sz w:val="24"/>
          <w:szCs w:val="24"/>
        </w:rPr>
        <w:t xml:space="preserve">Finally, we take our approach to the national level, to examine how assessments at that level can be consistent with more localized efforts. What we show there is that HM Treasury are in an advanced stage of rethinking the premises underlying the ‘Green Book’ that provides the analytical backbone for assessing infrastructure proposals. The core of this </w:t>
      </w:r>
      <w:proofErr w:type="spellStart"/>
      <w:r w:rsidR="00346FAC" w:rsidRPr="00E64149">
        <w:rPr>
          <w:rFonts w:cstheme="minorHAnsi"/>
          <w:sz w:val="24"/>
          <w:szCs w:val="24"/>
        </w:rPr>
        <w:t>reevaluation</w:t>
      </w:r>
      <w:proofErr w:type="spellEnd"/>
      <w:r w:rsidR="00346FAC" w:rsidRPr="00E64149">
        <w:rPr>
          <w:rFonts w:cstheme="minorHAnsi"/>
          <w:sz w:val="24"/>
          <w:szCs w:val="24"/>
        </w:rPr>
        <w:t xml:space="preserve"> involves rethinking the basis of economic value; and as will be seen, this rethinking is in line with some of the guiding principles suggested here.</w:t>
      </w:r>
    </w:p>
    <w:p w14:paraId="531F1F04" w14:textId="77777777" w:rsidR="0050312E" w:rsidRDefault="0050312E" w:rsidP="00E12974">
      <w:pPr>
        <w:rPr>
          <w:rFonts w:cstheme="minorHAnsi"/>
          <w:b/>
          <w:bCs/>
          <w:sz w:val="28"/>
          <w:szCs w:val="28"/>
        </w:rPr>
      </w:pPr>
    </w:p>
    <w:p w14:paraId="30FEFE34" w14:textId="44A6EEAC" w:rsidR="008556EA" w:rsidRDefault="001A4044" w:rsidP="00E12974">
      <w:pPr>
        <w:rPr>
          <w:rFonts w:cstheme="minorHAnsi"/>
          <w:b/>
          <w:bCs/>
          <w:sz w:val="28"/>
          <w:szCs w:val="28"/>
        </w:rPr>
      </w:pPr>
      <w:r>
        <w:rPr>
          <w:rFonts w:cstheme="minorHAnsi"/>
          <w:b/>
          <w:bCs/>
          <w:sz w:val="28"/>
          <w:szCs w:val="28"/>
        </w:rPr>
        <w:t>2. THE</w:t>
      </w:r>
      <w:r w:rsidR="0062526D">
        <w:rPr>
          <w:rFonts w:cstheme="minorHAnsi"/>
          <w:b/>
          <w:bCs/>
          <w:sz w:val="28"/>
          <w:szCs w:val="28"/>
        </w:rPr>
        <w:t xml:space="preserve"> RATIONALE FOR </w:t>
      </w:r>
      <w:r>
        <w:rPr>
          <w:rFonts w:cstheme="minorHAnsi"/>
          <w:b/>
          <w:bCs/>
          <w:sz w:val="28"/>
          <w:szCs w:val="28"/>
        </w:rPr>
        <w:t>A NEW APPROACH TO ECONOMIC RECOVERY</w:t>
      </w:r>
    </w:p>
    <w:p w14:paraId="555AFAC4" w14:textId="22460D35" w:rsidR="002E756A" w:rsidRDefault="00CA0E0D" w:rsidP="00E12974">
      <w:pPr>
        <w:rPr>
          <w:rFonts w:cstheme="minorHAnsi"/>
          <w:sz w:val="24"/>
          <w:szCs w:val="24"/>
        </w:rPr>
      </w:pPr>
      <w:r>
        <w:rPr>
          <w:rFonts w:cstheme="minorHAnsi"/>
          <w:sz w:val="24"/>
          <w:szCs w:val="24"/>
        </w:rPr>
        <w:t xml:space="preserve">One phrase has been used more than any other to describe how the United Kingdom </w:t>
      </w:r>
      <w:proofErr w:type="gramStart"/>
      <w:r>
        <w:rPr>
          <w:rFonts w:cstheme="minorHAnsi"/>
          <w:sz w:val="24"/>
          <w:szCs w:val="24"/>
        </w:rPr>
        <w:t>can  rekindle</w:t>
      </w:r>
      <w:proofErr w:type="gramEnd"/>
      <w:r>
        <w:rPr>
          <w:rFonts w:cstheme="minorHAnsi"/>
          <w:sz w:val="24"/>
          <w:szCs w:val="24"/>
        </w:rPr>
        <w:t xml:space="preserve"> its economic growth</w:t>
      </w:r>
      <w:r w:rsidRPr="00CA0E0D">
        <w:rPr>
          <w:rFonts w:cstheme="minorHAnsi"/>
          <w:sz w:val="24"/>
          <w:szCs w:val="24"/>
        </w:rPr>
        <w:t xml:space="preserve"> </w:t>
      </w:r>
      <w:r>
        <w:rPr>
          <w:rFonts w:cstheme="minorHAnsi"/>
          <w:sz w:val="24"/>
          <w:szCs w:val="24"/>
        </w:rPr>
        <w:t>once the grip of the Covid-19 weakens: we should ‘build back better.’ But</w:t>
      </w:r>
      <w:r w:rsidR="007C23F7">
        <w:rPr>
          <w:rFonts w:cstheme="minorHAnsi"/>
          <w:sz w:val="24"/>
          <w:szCs w:val="24"/>
        </w:rPr>
        <w:t xml:space="preserve"> despite</w:t>
      </w:r>
      <w:r>
        <w:rPr>
          <w:rFonts w:cstheme="minorHAnsi"/>
          <w:sz w:val="24"/>
          <w:szCs w:val="24"/>
        </w:rPr>
        <w:t xml:space="preserve"> </w:t>
      </w:r>
      <w:r w:rsidR="007C23F7">
        <w:rPr>
          <w:rFonts w:cstheme="minorHAnsi"/>
          <w:sz w:val="24"/>
          <w:szCs w:val="24"/>
        </w:rPr>
        <w:t xml:space="preserve">being </w:t>
      </w:r>
      <w:r>
        <w:rPr>
          <w:rFonts w:cstheme="minorHAnsi"/>
          <w:sz w:val="24"/>
          <w:szCs w:val="24"/>
        </w:rPr>
        <w:t>constant</w:t>
      </w:r>
      <w:r w:rsidR="007C23F7">
        <w:rPr>
          <w:rFonts w:cstheme="minorHAnsi"/>
          <w:sz w:val="24"/>
          <w:szCs w:val="24"/>
        </w:rPr>
        <w:t xml:space="preserve">ly repeated, it’s not clear that this is what Britain needs. For one thing, the </w:t>
      </w:r>
      <w:proofErr w:type="spellStart"/>
      <w:r w:rsidR="007C23F7">
        <w:rPr>
          <w:rFonts w:cstheme="minorHAnsi"/>
          <w:sz w:val="24"/>
          <w:szCs w:val="24"/>
        </w:rPr>
        <w:t>Covid</w:t>
      </w:r>
      <w:proofErr w:type="spellEnd"/>
      <w:r w:rsidR="007C23F7">
        <w:rPr>
          <w:rFonts w:cstheme="minorHAnsi"/>
          <w:sz w:val="24"/>
          <w:szCs w:val="24"/>
        </w:rPr>
        <w:t xml:space="preserve"> pandemic has not levelled the country’s physical plant and left a job of reconstruction behind. For another, the economy was scarcely flying along before the lockdown began: productivity was stagnant, public services were at risk, and regional inequalities were spiking.</w:t>
      </w:r>
      <w:r w:rsidR="002E756A">
        <w:rPr>
          <w:rFonts w:cstheme="minorHAnsi"/>
          <w:sz w:val="24"/>
          <w:szCs w:val="24"/>
        </w:rPr>
        <w:t xml:space="preserve"> Returning the economy to its pre-</w:t>
      </w:r>
      <w:proofErr w:type="spellStart"/>
      <w:r w:rsidR="002E756A">
        <w:rPr>
          <w:rFonts w:cstheme="minorHAnsi"/>
          <w:sz w:val="24"/>
          <w:szCs w:val="24"/>
        </w:rPr>
        <w:t>Covid</w:t>
      </w:r>
      <w:proofErr w:type="spellEnd"/>
      <w:r w:rsidR="002E756A">
        <w:rPr>
          <w:rFonts w:cstheme="minorHAnsi"/>
          <w:sz w:val="24"/>
          <w:szCs w:val="24"/>
        </w:rPr>
        <w:t xml:space="preserve"> trajectory would, if anything, exacerbate these problems rather than addressing them. A new approach to economic well-being and </w:t>
      </w:r>
      <w:proofErr w:type="spellStart"/>
      <w:r w:rsidR="002E756A">
        <w:rPr>
          <w:rFonts w:cstheme="minorHAnsi"/>
          <w:sz w:val="24"/>
          <w:szCs w:val="24"/>
        </w:rPr>
        <w:t>prosperitys</w:t>
      </w:r>
      <w:proofErr w:type="spellEnd"/>
      <w:r w:rsidR="002E756A">
        <w:rPr>
          <w:rFonts w:cstheme="minorHAnsi"/>
          <w:sz w:val="24"/>
          <w:szCs w:val="24"/>
        </w:rPr>
        <w:t xml:space="preserve"> is needed, now – post-</w:t>
      </w:r>
      <w:proofErr w:type="spellStart"/>
      <w:r w:rsidR="002E756A">
        <w:rPr>
          <w:rFonts w:cstheme="minorHAnsi"/>
          <w:sz w:val="24"/>
          <w:szCs w:val="24"/>
        </w:rPr>
        <w:t>Covid</w:t>
      </w:r>
      <w:proofErr w:type="spellEnd"/>
      <w:r w:rsidR="002E756A">
        <w:rPr>
          <w:rFonts w:cstheme="minorHAnsi"/>
          <w:sz w:val="24"/>
          <w:szCs w:val="24"/>
        </w:rPr>
        <w:t>, once we get there – more than ever.</w:t>
      </w:r>
    </w:p>
    <w:p w14:paraId="0CE27FAC" w14:textId="44DB290E" w:rsidR="007C23F7" w:rsidRDefault="0064277F" w:rsidP="00E12974">
      <w:pPr>
        <w:rPr>
          <w:rFonts w:cstheme="minorHAnsi"/>
          <w:sz w:val="24"/>
          <w:szCs w:val="24"/>
        </w:rPr>
      </w:pPr>
      <w:r>
        <w:rPr>
          <w:rFonts w:cstheme="minorHAnsi"/>
          <w:sz w:val="24"/>
          <w:szCs w:val="24"/>
        </w:rPr>
        <w:t>P</w:t>
      </w:r>
      <w:r w:rsidR="002E756A">
        <w:rPr>
          <w:rFonts w:cstheme="minorHAnsi"/>
          <w:sz w:val="24"/>
          <w:szCs w:val="24"/>
        </w:rPr>
        <w:t>lace-based strategies</w:t>
      </w:r>
      <w:r>
        <w:rPr>
          <w:rFonts w:cstheme="minorHAnsi"/>
          <w:sz w:val="24"/>
          <w:szCs w:val="24"/>
        </w:rPr>
        <w:t xml:space="preserve"> are the necessary first step</w:t>
      </w:r>
      <w:r w:rsidR="002E756A">
        <w:rPr>
          <w:rFonts w:cstheme="minorHAnsi"/>
          <w:sz w:val="24"/>
          <w:szCs w:val="24"/>
        </w:rPr>
        <w:t>.</w:t>
      </w:r>
      <w:r>
        <w:rPr>
          <w:rFonts w:cstheme="minorHAnsi"/>
          <w:sz w:val="24"/>
          <w:szCs w:val="24"/>
        </w:rPr>
        <w:t xml:space="preserve"> People are hurting and are confused. </w:t>
      </w:r>
      <w:r w:rsidR="002E756A">
        <w:rPr>
          <w:rFonts w:cstheme="minorHAnsi"/>
          <w:sz w:val="24"/>
          <w:szCs w:val="24"/>
        </w:rPr>
        <w:t xml:space="preserve"> Rebuilding the economy </w:t>
      </w:r>
      <w:r w:rsidR="0021386F">
        <w:rPr>
          <w:rFonts w:cstheme="minorHAnsi"/>
          <w:sz w:val="24"/>
          <w:szCs w:val="24"/>
        </w:rPr>
        <w:t xml:space="preserve">by </w:t>
      </w:r>
      <w:r w:rsidR="002E756A">
        <w:rPr>
          <w:rFonts w:cstheme="minorHAnsi"/>
          <w:sz w:val="24"/>
          <w:szCs w:val="24"/>
        </w:rPr>
        <w:t>consulting with and relying on the voices and ideas of those who live in the diverse communities, towns, and cities of the British nation</w:t>
      </w:r>
      <w:r w:rsidR="0021386F">
        <w:rPr>
          <w:rFonts w:cstheme="minorHAnsi"/>
          <w:sz w:val="24"/>
          <w:szCs w:val="24"/>
        </w:rPr>
        <w:t xml:space="preserve"> will provide everyone to share their grief over lives lost and to express what they value and want to renew as daily lives and community cash-flows begin to circulate again. Everyone has to see their losses </w:t>
      </w:r>
      <w:r>
        <w:rPr>
          <w:rFonts w:cstheme="minorHAnsi"/>
          <w:sz w:val="24"/>
          <w:szCs w:val="24"/>
        </w:rPr>
        <w:t xml:space="preserve">recognized </w:t>
      </w:r>
      <w:r w:rsidR="0021386F">
        <w:rPr>
          <w:rFonts w:cstheme="minorHAnsi"/>
          <w:sz w:val="24"/>
          <w:szCs w:val="24"/>
        </w:rPr>
        <w:t xml:space="preserve">and their plans to overcome them writ into the maps of what comes next, and this can be done only by validating the voice of the everyday person. </w:t>
      </w:r>
    </w:p>
    <w:p w14:paraId="5C5EDEC7" w14:textId="2AF668C6" w:rsidR="0021386F" w:rsidRDefault="0021386F" w:rsidP="00E12974">
      <w:pPr>
        <w:rPr>
          <w:rFonts w:cstheme="minorHAnsi"/>
          <w:sz w:val="24"/>
          <w:szCs w:val="24"/>
        </w:rPr>
      </w:pPr>
      <w:r>
        <w:rPr>
          <w:rFonts w:cstheme="minorHAnsi"/>
          <w:sz w:val="24"/>
          <w:szCs w:val="24"/>
        </w:rPr>
        <w:lastRenderedPageBreak/>
        <w:t>This brings us to the second element, the need to rethink value. In the economy that has emerged over the post-war period, the location of factories, firms, commercial outlets, and jobs</w:t>
      </w:r>
      <w:r w:rsidR="008556EA">
        <w:rPr>
          <w:rFonts w:cstheme="minorHAnsi"/>
          <w:sz w:val="24"/>
          <w:szCs w:val="24"/>
        </w:rPr>
        <w:t>, as well as the price and availability of housing,</w:t>
      </w:r>
      <w:r>
        <w:rPr>
          <w:rFonts w:cstheme="minorHAnsi"/>
          <w:sz w:val="24"/>
          <w:szCs w:val="24"/>
        </w:rPr>
        <w:t xml:space="preserve"> has been shaped by decisions made primarily by private owners of financial and real capital. Those who inhabit places across the country have had to structure their </w:t>
      </w:r>
      <w:r w:rsidR="008556EA">
        <w:rPr>
          <w:rFonts w:cstheme="minorHAnsi"/>
          <w:sz w:val="24"/>
          <w:szCs w:val="24"/>
        </w:rPr>
        <w:t xml:space="preserve">daily routines – the commutes to work, school pickups and </w:t>
      </w:r>
      <w:proofErr w:type="spellStart"/>
      <w:r w:rsidR="008556EA">
        <w:rPr>
          <w:rFonts w:cstheme="minorHAnsi"/>
          <w:sz w:val="24"/>
          <w:szCs w:val="24"/>
        </w:rPr>
        <w:t>dropoffs</w:t>
      </w:r>
      <w:proofErr w:type="spellEnd"/>
      <w:r w:rsidR="008556EA">
        <w:rPr>
          <w:rFonts w:cstheme="minorHAnsi"/>
          <w:sz w:val="24"/>
          <w:szCs w:val="24"/>
        </w:rPr>
        <w:t xml:space="preserve">, shopping trips, and so on – on the basis of where the jobs are and where they can afford to live. Those who controlling this lived infrastructure are likely to live elsewhere, and indeed to have established offshore facilities for declaring income and paying taxes. </w:t>
      </w:r>
    </w:p>
    <w:p w14:paraId="72581C62" w14:textId="77777777" w:rsidR="00AC0A4D" w:rsidRDefault="008556EA" w:rsidP="00E12974">
      <w:pPr>
        <w:rPr>
          <w:rFonts w:cstheme="minorHAnsi"/>
          <w:sz w:val="24"/>
          <w:szCs w:val="24"/>
        </w:rPr>
      </w:pPr>
      <w:r>
        <w:rPr>
          <w:rFonts w:cstheme="minorHAnsi"/>
          <w:sz w:val="24"/>
          <w:szCs w:val="24"/>
        </w:rPr>
        <w:t xml:space="preserve">Before the </w:t>
      </w:r>
      <w:proofErr w:type="spellStart"/>
      <w:r>
        <w:rPr>
          <w:rFonts w:cstheme="minorHAnsi"/>
          <w:sz w:val="24"/>
          <w:szCs w:val="24"/>
        </w:rPr>
        <w:t>Covid</w:t>
      </w:r>
      <w:proofErr w:type="spellEnd"/>
      <w:r>
        <w:rPr>
          <w:rFonts w:cstheme="minorHAnsi"/>
          <w:sz w:val="24"/>
          <w:szCs w:val="24"/>
        </w:rPr>
        <w:t xml:space="preserve"> pandemic, hustling to make your personal life fit the demands of your work life</w:t>
      </w:r>
      <w:r w:rsidR="00346FAC">
        <w:rPr>
          <w:rFonts w:cstheme="minorHAnsi"/>
          <w:sz w:val="24"/>
          <w:szCs w:val="24"/>
        </w:rPr>
        <w:t>, then,</w:t>
      </w:r>
      <w:r>
        <w:rPr>
          <w:rFonts w:cstheme="minorHAnsi"/>
          <w:sz w:val="24"/>
          <w:szCs w:val="24"/>
        </w:rPr>
        <w:t xml:space="preserve"> was the priority. </w:t>
      </w:r>
      <w:r w:rsidR="00AC0A4D">
        <w:rPr>
          <w:rFonts w:cstheme="minorHAnsi"/>
          <w:sz w:val="24"/>
          <w:szCs w:val="24"/>
        </w:rPr>
        <w:t xml:space="preserve">The importance of living places was often discounted, given that priority had to be given to linking with places that could generate the cash flows required for meeting living, commuting, and housing costs. </w:t>
      </w:r>
    </w:p>
    <w:p w14:paraId="4A1E37BD" w14:textId="52E7EA58" w:rsidR="008556EA" w:rsidRDefault="008556EA" w:rsidP="00E12974">
      <w:pPr>
        <w:rPr>
          <w:rFonts w:cstheme="minorHAnsi"/>
          <w:sz w:val="24"/>
          <w:szCs w:val="24"/>
        </w:rPr>
      </w:pPr>
      <w:r>
        <w:rPr>
          <w:rFonts w:cstheme="minorHAnsi"/>
          <w:sz w:val="24"/>
          <w:szCs w:val="24"/>
        </w:rPr>
        <w:t xml:space="preserve">But </w:t>
      </w:r>
      <w:proofErr w:type="spellStart"/>
      <w:r>
        <w:rPr>
          <w:rFonts w:cstheme="minorHAnsi"/>
          <w:sz w:val="24"/>
          <w:szCs w:val="24"/>
        </w:rPr>
        <w:t>Covid</w:t>
      </w:r>
      <w:proofErr w:type="spellEnd"/>
      <w:r>
        <w:rPr>
          <w:rFonts w:cstheme="minorHAnsi"/>
          <w:sz w:val="24"/>
          <w:szCs w:val="24"/>
        </w:rPr>
        <w:t xml:space="preserve"> cast the tensions in those lives into sharp relief. We all needed health facilities and stores and ‘frontline workers’ in the places we lived; when we </w:t>
      </w:r>
      <w:r w:rsidR="00346FAC">
        <w:rPr>
          <w:rFonts w:cstheme="minorHAnsi"/>
          <w:sz w:val="24"/>
          <w:szCs w:val="24"/>
        </w:rPr>
        <w:t xml:space="preserve">have </w:t>
      </w:r>
      <w:r>
        <w:rPr>
          <w:rFonts w:cstheme="minorHAnsi"/>
          <w:sz w:val="24"/>
          <w:szCs w:val="24"/>
        </w:rPr>
        <w:t>lack</w:t>
      </w:r>
      <w:r w:rsidR="00346FAC">
        <w:rPr>
          <w:rFonts w:cstheme="minorHAnsi"/>
          <w:sz w:val="24"/>
          <w:szCs w:val="24"/>
        </w:rPr>
        <w:t>ed</w:t>
      </w:r>
      <w:r>
        <w:rPr>
          <w:rFonts w:cstheme="minorHAnsi"/>
          <w:sz w:val="24"/>
          <w:szCs w:val="24"/>
        </w:rPr>
        <w:t xml:space="preserve"> those, we suffered and even died. </w:t>
      </w:r>
      <w:r w:rsidR="00346FAC">
        <w:rPr>
          <w:rFonts w:cstheme="minorHAnsi"/>
          <w:sz w:val="24"/>
          <w:szCs w:val="24"/>
        </w:rPr>
        <w:t>The pandemic h</w:t>
      </w:r>
      <w:r w:rsidR="00AC0A4D">
        <w:rPr>
          <w:rFonts w:cstheme="minorHAnsi"/>
          <w:sz w:val="24"/>
          <w:szCs w:val="24"/>
        </w:rPr>
        <w:t xml:space="preserve">as rebalanced the scale between economic and social life, between cash-flows and communities, in </w:t>
      </w:r>
      <w:proofErr w:type="spellStart"/>
      <w:r w:rsidR="00AC0A4D">
        <w:rPr>
          <w:rFonts w:cstheme="minorHAnsi"/>
          <w:sz w:val="24"/>
          <w:szCs w:val="24"/>
        </w:rPr>
        <w:t>favor</w:t>
      </w:r>
      <w:proofErr w:type="spellEnd"/>
      <w:r w:rsidR="00AC0A4D">
        <w:rPr>
          <w:rFonts w:cstheme="minorHAnsi"/>
          <w:sz w:val="24"/>
          <w:szCs w:val="24"/>
        </w:rPr>
        <w:t xml:space="preserve"> of the latter. </w:t>
      </w:r>
    </w:p>
    <w:p w14:paraId="0BD18223" w14:textId="11C1A6D0" w:rsidR="0062526D" w:rsidRDefault="001A4044" w:rsidP="00E12974">
      <w:pPr>
        <w:rPr>
          <w:rFonts w:cstheme="minorHAnsi"/>
          <w:sz w:val="24"/>
          <w:szCs w:val="24"/>
        </w:rPr>
      </w:pPr>
      <w:proofErr w:type="spellStart"/>
      <w:r w:rsidRPr="001A4044">
        <w:rPr>
          <w:rFonts w:cstheme="minorHAnsi"/>
          <w:b/>
          <w:bCs/>
          <w:sz w:val="24"/>
          <w:szCs w:val="24"/>
        </w:rPr>
        <w:t>THe</w:t>
      </w:r>
      <w:proofErr w:type="spellEnd"/>
      <w:r w:rsidRPr="001A4044">
        <w:rPr>
          <w:rFonts w:cstheme="minorHAnsi"/>
          <w:b/>
          <w:bCs/>
          <w:sz w:val="24"/>
          <w:szCs w:val="24"/>
        </w:rPr>
        <w:t xml:space="preserve"> origins of </w:t>
      </w:r>
      <w:r w:rsidR="004C7B7D" w:rsidRPr="001A4044">
        <w:rPr>
          <w:rFonts w:cstheme="minorHAnsi"/>
          <w:b/>
          <w:bCs/>
          <w:sz w:val="24"/>
          <w:szCs w:val="24"/>
        </w:rPr>
        <w:t xml:space="preserve">‘system-of-systems’ and place-based thinking </w:t>
      </w:r>
      <w:r w:rsidRPr="001A4044">
        <w:rPr>
          <w:rFonts w:cstheme="minorHAnsi"/>
          <w:b/>
          <w:bCs/>
          <w:sz w:val="24"/>
          <w:szCs w:val="24"/>
        </w:rPr>
        <w:t xml:space="preserve">in West Yorkshire. </w:t>
      </w:r>
      <w:r w:rsidR="006F68AA" w:rsidRPr="001A4044">
        <w:rPr>
          <w:rFonts w:cstheme="minorHAnsi"/>
          <w:sz w:val="24"/>
          <w:szCs w:val="24"/>
        </w:rPr>
        <w:t>This</w:t>
      </w:r>
      <w:r w:rsidR="005545D4" w:rsidRPr="001A4044">
        <w:rPr>
          <w:rFonts w:cstheme="minorHAnsi"/>
          <w:sz w:val="24"/>
          <w:szCs w:val="24"/>
        </w:rPr>
        <w:t xml:space="preserve"> report</w:t>
      </w:r>
      <w:r w:rsidR="006F68AA" w:rsidRPr="001A4044">
        <w:rPr>
          <w:rFonts w:cstheme="minorHAnsi"/>
          <w:sz w:val="24"/>
          <w:szCs w:val="24"/>
        </w:rPr>
        <w:t xml:space="preserve"> </w:t>
      </w:r>
      <w:r w:rsidR="009A1E78" w:rsidRPr="001A4044">
        <w:rPr>
          <w:rFonts w:cstheme="minorHAnsi"/>
          <w:sz w:val="24"/>
          <w:szCs w:val="24"/>
        </w:rPr>
        <w:t>introduces</w:t>
      </w:r>
      <w:r w:rsidR="006F68AA" w:rsidRPr="001A4044">
        <w:rPr>
          <w:rFonts w:cstheme="minorHAnsi"/>
          <w:sz w:val="24"/>
          <w:szCs w:val="24"/>
        </w:rPr>
        <w:t xml:space="preserve"> </w:t>
      </w:r>
      <w:r w:rsidR="001E1BA4" w:rsidRPr="001A4044">
        <w:rPr>
          <w:rFonts w:cstheme="minorHAnsi"/>
          <w:sz w:val="24"/>
          <w:szCs w:val="24"/>
        </w:rPr>
        <w:t xml:space="preserve">key aspects of </w:t>
      </w:r>
      <w:r w:rsidR="006F68AA" w:rsidRPr="001A4044">
        <w:rPr>
          <w:rFonts w:cstheme="minorHAnsi"/>
          <w:sz w:val="24"/>
          <w:szCs w:val="24"/>
        </w:rPr>
        <w:t>an a</w:t>
      </w:r>
      <w:r w:rsidR="002961FE" w:rsidRPr="001A4044">
        <w:rPr>
          <w:rFonts w:cstheme="minorHAnsi"/>
          <w:sz w:val="24"/>
          <w:szCs w:val="24"/>
        </w:rPr>
        <w:t>pproach</w:t>
      </w:r>
      <w:r w:rsidR="006F68AA" w:rsidRPr="001A4044">
        <w:rPr>
          <w:rFonts w:cstheme="minorHAnsi"/>
          <w:sz w:val="24"/>
          <w:szCs w:val="24"/>
        </w:rPr>
        <w:t xml:space="preserve"> for combining the logic of </w:t>
      </w:r>
      <w:r w:rsidR="005D1E52" w:rsidRPr="001A4044">
        <w:rPr>
          <w:rFonts w:cstheme="minorHAnsi"/>
          <w:sz w:val="24"/>
          <w:szCs w:val="24"/>
        </w:rPr>
        <w:t xml:space="preserve">economic recovery </w:t>
      </w:r>
      <w:r w:rsidR="006F68AA" w:rsidRPr="001A4044">
        <w:rPr>
          <w:rFonts w:cstheme="minorHAnsi"/>
          <w:sz w:val="24"/>
          <w:szCs w:val="24"/>
        </w:rPr>
        <w:t xml:space="preserve">with the need to meet climate and social-inclusion </w:t>
      </w:r>
      <w:r w:rsidR="00443FED" w:rsidRPr="001A4044">
        <w:rPr>
          <w:rFonts w:cstheme="minorHAnsi"/>
          <w:sz w:val="24"/>
          <w:szCs w:val="24"/>
        </w:rPr>
        <w:t>goals</w:t>
      </w:r>
      <w:r w:rsidR="006F68AA" w:rsidRPr="001A4044">
        <w:rPr>
          <w:rFonts w:cstheme="minorHAnsi"/>
          <w:sz w:val="24"/>
          <w:szCs w:val="24"/>
        </w:rPr>
        <w:t xml:space="preserve">. </w:t>
      </w:r>
      <w:r w:rsidR="00F94125" w:rsidRPr="001A4044">
        <w:rPr>
          <w:rFonts w:cstheme="minorHAnsi"/>
          <w:sz w:val="24"/>
          <w:szCs w:val="24"/>
        </w:rPr>
        <w:t>The</w:t>
      </w:r>
      <w:r w:rsidR="006F68AA" w:rsidRPr="001A4044">
        <w:rPr>
          <w:rFonts w:cstheme="minorHAnsi"/>
          <w:sz w:val="24"/>
          <w:szCs w:val="24"/>
        </w:rPr>
        <w:t xml:space="preserve"> </w:t>
      </w:r>
      <w:r w:rsidR="002961FE" w:rsidRPr="001A4044">
        <w:rPr>
          <w:rFonts w:cstheme="minorHAnsi"/>
          <w:sz w:val="24"/>
          <w:szCs w:val="24"/>
        </w:rPr>
        <w:t>approach</w:t>
      </w:r>
      <w:r w:rsidR="006F68AA" w:rsidRPr="001A4044">
        <w:rPr>
          <w:rFonts w:cstheme="minorHAnsi"/>
          <w:sz w:val="24"/>
          <w:szCs w:val="24"/>
        </w:rPr>
        <w:t xml:space="preserve">, </w:t>
      </w:r>
      <w:r w:rsidR="00B72BE4" w:rsidRPr="001A4044">
        <w:rPr>
          <w:rFonts w:cstheme="minorHAnsi"/>
          <w:sz w:val="24"/>
          <w:szCs w:val="24"/>
        </w:rPr>
        <w:t>a</w:t>
      </w:r>
      <w:r w:rsidR="006F68AA" w:rsidRPr="001A4044">
        <w:rPr>
          <w:rFonts w:cstheme="minorHAnsi"/>
          <w:sz w:val="24"/>
          <w:szCs w:val="24"/>
        </w:rPr>
        <w:t xml:space="preserve"> ‘system</w:t>
      </w:r>
      <w:r w:rsidR="005D1E52" w:rsidRPr="001A4044">
        <w:rPr>
          <w:rFonts w:cstheme="minorHAnsi"/>
          <w:sz w:val="24"/>
          <w:szCs w:val="24"/>
        </w:rPr>
        <w:t>-</w:t>
      </w:r>
      <w:r w:rsidR="006F68AA" w:rsidRPr="001A4044">
        <w:rPr>
          <w:rFonts w:cstheme="minorHAnsi"/>
          <w:sz w:val="24"/>
          <w:szCs w:val="24"/>
        </w:rPr>
        <w:t>of</w:t>
      </w:r>
      <w:r w:rsidR="005D1E52" w:rsidRPr="001A4044">
        <w:rPr>
          <w:rFonts w:cstheme="minorHAnsi"/>
          <w:sz w:val="24"/>
          <w:szCs w:val="24"/>
        </w:rPr>
        <w:t>-</w:t>
      </w:r>
      <w:r w:rsidR="006F68AA" w:rsidRPr="001A4044">
        <w:rPr>
          <w:rFonts w:cstheme="minorHAnsi"/>
          <w:sz w:val="24"/>
          <w:szCs w:val="24"/>
        </w:rPr>
        <w:t xml:space="preserve">systems’ </w:t>
      </w:r>
      <w:r w:rsidR="009E5D2C" w:rsidRPr="001A4044">
        <w:rPr>
          <w:rFonts w:cstheme="minorHAnsi"/>
          <w:sz w:val="24"/>
          <w:szCs w:val="24"/>
        </w:rPr>
        <w:t xml:space="preserve">and place-based </w:t>
      </w:r>
      <w:r w:rsidR="006F68AA" w:rsidRPr="001A4044">
        <w:rPr>
          <w:rFonts w:cstheme="minorHAnsi"/>
          <w:sz w:val="24"/>
          <w:szCs w:val="24"/>
        </w:rPr>
        <w:t xml:space="preserve">approach, has been </w:t>
      </w:r>
      <w:r w:rsidR="004A5B8D" w:rsidRPr="001A4044">
        <w:rPr>
          <w:rFonts w:cstheme="minorHAnsi"/>
          <w:sz w:val="24"/>
          <w:szCs w:val="24"/>
        </w:rPr>
        <w:t>co-</w:t>
      </w:r>
      <w:r w:rsidR="006F68AA" w:rsidRPr="001A4044">
        <w:rPr>
          <w:rFonts w:cstheme="minorHAnsi"/>
          <w:sz w:val="24"/>
          <w:szCs w:val="24"/>
        </w:rPr>
        <w:t>develop</w:t>
      </w:r>
      <w:r w:rsidR="004A5B8D" w:rsidRPr="001A4044">
        <w:rPr>
          <w:rFonts w:cstheme="minorHAnsi"/>
          <w:sz w:val="24"/>
          <w:szCs w:val="24"/>
        </w:rPr>
        <w:t>ed</w:t>
      </w:r>
      <w:r w:rsidR="006F68AA" w:rsidRPr="001A4044">
        <w:rPr>
          <w:rFonts w:cstheme="minorHAnsi"/>
          <w:sz w:val="24"/>
          <w:szCs w:val="24"/>
        </w:rPr>
        <w:t xml:space="preserve"> over the past decade, as</w:t>
      </w:r>
      <w:r w:rsidR="00A10402" w:rsidRPr="001A4044">
        <w:rPr>
          <w:rFonts w:cstheme="minorHAnsi"/>
          <w:sz w:val="24"/>
          <w:szCs w:val="24"/>
        </w:rPr>
        <w:t xml:space="preserve"> </w:t>
      </w:r>
      <w:r w:rsidR="005409FA" w:rsidRPr="001A4044">
        <w:rPr>
          <w:rFonts w:cstheme="minorHAnsi"/>
          <w:sz w:val="24"/>
          <w:szCs w:val="24"/>
        </w:rPr>
        <w:t>interlinked</w:t>
      </w:r>
      <w:r w:rsidR="006F68AA" w:rsidRPr="001A4044">
        <w:rPr>
          <w:rFonts w:cstheme="minorHAnsi"/>
          <w:sz w:val="24"/>
          <w:szCs w:val="24"/>
        </w:rPr>
        <w:t xml:space="preserve"> </w:t>
      </w:r>
      <w:r w:rsidR="00A724F7" w:rsidRPr="001A4044">
        <w:rPr>
          <w:rFonts w:cstheme="minorHAnsi"/>
          <w:sz w:val="24"/>
          <w:szCs w:val="24"/>
        </w:rPr>
        <w:t xml:space="preserve">networks of </w:t>
      </w:r>
      <w:r w:rsidR="006F68AA" w:rsidRPr="001A4044">
        <w:rPr>
          <w:rFonts w:cstheme="minorHAnsi"/>
          <w:sz w:val="24"/>
          <w:szCs w:val="24"/>
        </w:rPr>
        <w:t>academics</w:t>
      </w:r>
      <w:r w:rsidR="00AF5968" w:rsidRPr="001A4044">
        <w:rPr>
          <w:rFonts w:cstheme="minorHAnsi"/>
          <w:sz w:val="24"/>
          <w:szCs w:val="24"/>
        </w:rPr>
        <w:t>,</w:t>
      </w:r>
      <w:r w:rsidR="002941BB" w:rsidRPr="001A4044">
        <w:rPr>
          <w:rFonts w:cstheme="minorHAnsi"/>
          <w:sz w:val="24"/>
          <w:szCs w:val="24"/>
        </w:rPr>
        <w:t xml:space="preserve"> </w:t>
      </w:r>
      <w:proofErr w:type="gramStart"/>
      <w:r w:rsidR="002941BB" w:rsidRPr="001A4044">
        <w:rPr>
          <w:rFonts w:cstheme="minorHAnsi"/>
          <w:sz w:val="24"/>
          <w:szCs w:val="24"/>
        </w:rPr>
        <w:t>policy-makers</w:t>
      </w:r>
      <w:proofErr w:type="gramEnd"/>
      <w:r w:rsidR="006F68AA" w:rsidRPr="001A4044">
        <w:rPr>
          <w:rFonts w:cstheme="minorHAnsi"/>
          <w:sz w:val="24"/>
          <w:szCs w:val="24"/>
        </w:rPr>
        <w:t xml:space="preserve"> </w:t>
      </w:r>
      <w:r w:rsidR="00AF5968" w:rsidRPr="001A4044">
        <w:rPr>
          <w:rFonts w:cstheme="minorHAnsi"/>
          <w:sz w:val="24"/>
          <w:szCs w:val="24"/>
        </w:rPr>
        <w:t xml:space="preserve">and stakeholders </w:t>
      </w:r>
      <w:r w:rsidR="003C4260" w:rsidRPr="001A4044">
        <w:rPr>
          <w:rFonts w:cstheme="minorHAnsi"/>
          <w:sz w:val="24"/>
          <w:szCs w:val="24"/>
        </w:rPr>
        <w:t xml:space="preserve">have </w:t>
      </w:r>
      <w:r w:rsidR="006F68AA" w:rsidRPr="001A4044">
        <w:rPr>
          <w:rFonts w:cstheme="minorHAnsi"/>
          <w:sz w:val="24"/>
          <w:szCs w:val="24"/>
        </w:rPr>
        <w:t>undert</w:t>
      </w:r>
      <w:r w:rsidR="003C4260" w:rsidRPr="001A4044">
        <w:rPr>
          <w:rFonts w:cstheme="minorHAnsi"/>
          <w:sz w:val="24"/>
          <w:szCs w:val="24"/>
        </w:rPr>
        <w:t>aken</w:t>
      </w:r>
      <w:r w:rsidR="006F68AA" w:rsidRPr="001A4044">
        <w:rPr>
          <w:rFonts w:cstheme="minorHAnsi"/>
          <w:sz w:val="24"/>
          <w:szCs w:val="24"/>
        </w:rPr>
        <w:t xml:space="preserve"> projects</w:t>
      </w:r>
      <w:r w:rsidR="005317C6" w:rsidRPr="001A4044">
        <w:rPr>
          <w:rFonts w:cstheme="minorHAnsi"/>
          <w:sz w:val="24"/>
          <w:szCs w:val="24"/>
        </w:rPr>
        <w:t xml:space="preserve"> </w:t>
      </w:r>
      <w:r w:rsidR="006F68AA" w:rsidRPr="001A4044">
        <w:rPr>
          <w:rFonts w:cstheme="minorHAnsi"/>
          <w:sz w:val="24"/>
          <w:szCs w:val="24"/>
        </w:rPr>
        <w:t xml:space="preserve">on recycling, infrastructure, finance, circular economy, health and wellbeing. </w:t>
      </w:r>
      <w:r w:rsidR="003A18F3" w:rsidRPr="001A4044">
        <w:rPr>
          <w:rFonts w:cstheme="minorHAnsi"/>
          <w:sz w:val="24"/>
          <w:szCs w:val="24"/>
        </w:rPr>
        <w:t>T</w:t>
      </w:r>
      <w:r w:rsidR="00793947" w:rsidRPr="001A4044">
        <w:rPr>
          <w:rFonts w:cstheme="minorHAnsi"/>
          <w:sz w:val="24"/>
          <w:szCs w:val="24"/>
        </w:rPr>
        <w:t>he</w:t>
      </w:r>
      <w:r w:rsidR="005A5786" w:rsidRPr="001A4044">
        <w:rPr>
          <w:rFonts w:cstheme="minorHAnsi"/>
          <w:sz w:val="24"/>
          <w:szCs w:val="24"/>
        </w:rPr>
        <w:t xml:space="preserve"> ‘Place-based </w:t>
      </w:r>
      <w:r w:rsidR="00C13E2B" w:rsidRPr="001A4044">
        <w:rPr>
          <w:rFonts w:cstheme="minorHAnsi"/>
          <w:sz w:val="24"/>
          <w:szCs w:val="24"/>
        </w:rPr>
        <w:t>C</w:t>
      </w:r>
      <w:r w:rsidR="005A5786" w:rsidRPr="001A4044">
        <w:rPr>
          <w:rFonts w:cstheme="minorHAnsi"/>
          <w:sz w:val="24"/>
          <w:szCs w:val="24"/>
        </w:rPr>
        <w:t xml:space="preserve">limate </w:t>
      </w:r>
      <w:r w:rsidR="00C13E2B" w:rsidRPr="001A4044">
        <w:rPr>
          <w:rFonts w:cstheme="minorHAnsi"/>
          <w:sz w:val="24"/>
          <w:szCs w:val="24"/>
        </w:rPr>
        <w:t>A</w:t>
      </w:r>
      <w:r w:rsidR="005A5786" w:rsidRPr="001A4044">
        <w:rPr>
          <w:rFonts w:cstheme="minorHAnsi"/>
          <w:sz w:val="24"/>
          <w:szCs w:val="24"/>
        </w:rPr>
        <w:t>ction</w:t>
      </w:r>
      <w:r w:rsidR="00A724F7" w:rsidRPr="001A4044">
        <w:rPr>
          <w:rFonts w:cstheme="minorHAnsi"/>
          <w:sz w:val="24"/>
          <w:szCs w:val="24"/>
        </w:rPr>
        <w:t xml:space="preserve"> </w:t>
      </w:r>
      <w:r w:rsidR="00C13E2B" w:rsidRPr="001A4044">
        <w:rPr>
          <w:rFonts w:cstheme="minorHAnsi"/>
          <w:sz w:val="24"/>
          <w:szCs w:val="24"/>
        </w:rPr>
        <w:t>N</w:t>
      </w:r>
      <w:r w:rsidR="00A724F7" w:rsidRPr="001A4044">
        <w:rPr>
          <w:rFonts w:cstheme="minorHAnsi"/>
          <w:sz w:val="24"/>
          <w:szCs w:val="24"/>
        </w:rPr>
        <w:t>etwork</w:t>
      </w:r>
      <w:r w:rsidR="005A5786" w:rsidRPr="001A4044">
        <w:rPr>
          <w:rFonts w:cstheme="minorHAnsi"/>
          <w:sz w:val="24"/>
          <w:szCs w:val="24"/>
        </w:rPr>
        <w:t>’ (PCAN)</w:t>
      </w:r>
      <w:r w:rsidR="001B1DE5" w:rsidRPr="001A4044">
        <w:rPr>
          <w:rFonts w:cstheme="minorHAnsi"/>
          <w:sz w:val="24"/>
          <w:szCs w:val="24"/>
        </w:rPr>
        <w:t>,</w:t>
      </w:r>
      <w:r w:rsidR="005A5786" w:rsidRPr="001A4044">
        <w:rPr>
          <w:rFonts w:cstheme="minorHAnsi"/>
          <w:sz w:val="24"/>
          <w:szCs w:val="24"/>
        </w:rPr>
        <w:t xml:space="preserve"> and the ‘</w:t>
      </w:r>
      <w:r w:rsidR="004C28FB" w:rsidRPr="001A4044">
        <w:rPr>
          <w:rFonts w:cstheme="minorHAnsi"/>
          <w:sz w:val="24"/>
          <w:szCs w:val="24"/>
        </w:rPr>
        <w:t>integrated Catchment Area Solutions Programme’ (</w:t>
      </w:r>
      <w:proofErr w:type="spellStart"/>
      <w:r w:rsidR="004C28FB" w:rsidRPr="001A4044">
        <w:rPr>
          <w:rFonts w:cstheme="minorHAnsi"/>
          <w:sz w:val="24"/>
          <w:szCs w:val="24"/>
        </w:rPr>
        <w:t>iCASP</w:t>
      </w:r>
      <w:proofErr w:type="spellEnd"/>
      <w:r w:rsidR="004C28FB" w:rsidRPr="001A4044">
        <w:rPr>
          <w:rFonts w:cstheme="minorHAnsi"/>
          <w:sz w:val="24"/>
          <w:szCs w:val="24"/>
        </w:rPr>
        <w:t>)</w:t>
      </w:r>
      <w:r w:rsidR="00793947" w:rsidRPr="001A4044">
        <w:rPr>
          <w:rFonts w:cstheme="minorHAnsi"/>
          <w:sz w:val="24"/>
          <w:szCs w:val="24"/>
        </w:rPr>
        <w:t xml:space="preserve"> a</w:t>
      </w:r>
      <w:r w:rsidR="00EF5962" w:rsidRPr="001A4044">
        <w:rPr>
          <w:rFonts w:cstheme="minorHAnsi"/>
          <w:sz w:val="24"/>
          <w:szCs w:val="24"/>
        </w:rPr>
        <w:t xml:space="preserve">re two </w:t>
      </w:r>
      <w:r w:rsidR="00FA0BEB" w:rsidRPr="001A4044">
        <w:rPr>
          <w:rFonts w:cstheme="minorHAnsi"/>
          <w:sz w:val="24"/>
          <w:szCs w:val="24"/>
        </w:rPr>
        <w:t>current</w:t>
      </w:r>
      <w:r w:rsidR="00EF5962" w:rsidRPr="001A4044">
        <w:rPr>
          <w:rFonts w:cstheme="minorHAnsi"/>
          <w:sz w:val="24"/>
          <w:szCs w:val="24"/>
        </w:rPr>
        <w:t xml:space="preserve"> examples</w:t>
      </w:r>
      <w:r w:rsidR="000940FB" w:rsidRPr="001A4044">
        <w:rPr>
          <w:rFonts w:cstheme="minorHAnsi"/>
          <w:sz w:val="24"/>
          <w:szCs w:val="24"/>
        </w:rPr>
        <w:t xml:space="preserve">. </w:t>
      </w:r>
      <w:r>
        <w:rPr>
          <w:rFonts w:cstheme="minorHAnsi"/>
          <w:sz w:val="24"/>
          <w:szCs w:val="24"/>
        </w:rPr>
        <w:t xml:space="preserve">These projects have permitted the researchers involved to experiment, </w:t>
      </w:r>
      <w:r w:rsidR="007E5E02" w:rsidRPr="001A4044">
        <w:rPr>
          <w:rFonts w:cstheme="minorHAnsi"/>
          <w:sz w:val="24"/>
          <w:szCs w:val="24"/>
        </w:rPr>
        <w:t>develop</w:t>
      </w:r>
      <w:r>
        <w:rPr>
          <w:rFonts w:cstheme="minorHAnsi"/>
          <w:sz w:val="24"/>
          <w:szCs w:val="24"/>
        </w:rPr>
        <w:t>ing</w:t>
      </w:r>
      <w:r w:rsidR="00A23826" w:rsidRPr="001A4044">
        <w:rPr>
          <w:rFonts w:cstheme="minorHAnsi"/>
          <w:sz w:val="24"/>
          <w:szCs w:val="24"/>
        </w:rPr>
        <w:t xml:space="preserve"> </w:t>
      </w:r>
      <w:r>
        <w:rPr>
          <w:rFonts w:cstheme="minorHAnsi"/>
          <w:sz w:val="24"/>
          <w:szCs w:val="24"/>
        </w:rPr>
        <w:t xml:space="preserve">ideas about </w:t>
      </w:r>
      <w:r w:rsidR="004D7D97" w:rsidRPr="001A4044">
        <w:rPr>
          <w:rFonts w:cstheme="minorHAnsi"/>
          <w:sz w:val="24"/>
          <w:szCs w:val="24"/>
        </w:rPr>
        <w:t>economic</w:t>
      </w:r>
      <w:r w:rsidR="007B3B7C" w:rsidRPr="001A4044">
        <w:rPr>
          <w:rFonts w:cstheme="minorHAnsi"/>
          <w:sz w:val="24"/>
          <w:szCs w:val="24"/>
        </w:rPr>
        <w:t xml:space="preserve"> value that</w:t>
      </w:r>
      <w:r w:rsidR="003D66C8" w:rsidRPr="001A4044">
        <w:rPr>
          <w:rFonts w:cstheme="minorHAnsi"/>
          <w:sz w:val="24"/>
          <w:szCs w:val="24"/>
        </w:rPr>
        <w:t xml:space="preserve"> </w:t>
      </w:r>
      <w:r w:rsidR="00A05BAF" w:rsidRPr="001A4044">
        <w:rPr>
          <w:rFonts w:cstheme="minorHAnsi"/>
          <w:sz w:val="24"/>
          <w:szCs w:val="24"/>
        </w:rPr>
        <w:t>remain</w:t>
      </w:r>
      <w:r w:rsidR="00133EC7" w:rsidRPr="001A4044">
        <w:rPr>
          <w:rFonts w:cstheme="minorHAnsi"/>
          <w:sz w:val="24"/>
          <w:szCs w:val="24"/>
        </w:rPr>
        <w:t xml:space="preserve"> applicable when</w:t>
      </w:r>
      <w:r w:rsidR="00F84316" w:rsidRPr="001A4044">
        <w:rPr>
          <w:rFonts w:cstheme="minorHAnsi"/>
          <w:sz w:val="24"/>
          <w:szCs w:val="24"/>
        </w:rPr>
        <w:t xml:space="preserve"> </w:t>
      </w:r>
      <w:r w:rsidR="00911F0E" w:rsidRPr="001A4044">
        <w:rPr>
          <w:rFonts w:cstheme="minorHAnsi"/>
          <w:sz w:val="24"/>
          <w:szCs w:val="24"/>
        </w:rPr>
        <w:t xml:space="preserve">the </w:t>
      </w:r>
      <w:r w:rsidR="00133EC7" w:rsidRPr="001A4044">
        <w:rPr>
          <w:rFonts w:cstheme="minorHAnsi"/>
          <w:sz w:val="24"/>
          <w:szCs w:val="24"/>
        </w:rPr>
        <w:t xml:space="preserve">standard </w:t>
      </w:r>
      <w:r w:rsidR="00911F0E" w:rsidRPr="001A4044">
        <w:rPr>
          <w:rFonts w:cstheme="minorHAnsi"/>
          <w:sz w:val="24"/>
          <w:szCs w:val="24"/>
        </w:rPr>
        <w:t>equation of value</w:t>
      </w:r>
      <w:r w:rsidR="00D85F26" w:rsidRPr="001A4044">
        <w:rPr>
          <w:rFonts w:cstheme="minorHAnsi"/>
          <w:sz w:val="24"/>
          <w:szCs w:val="24"/>
        </w:rPr>
        <w:t xml:space="preserve"> with </w:t>
      </w:r>
      <w:r w:rsidR="00E1001C" w:rsidRPr="001A4044">
        <w:rPr>
          <w:rFonts w:cstheme="minorHAnsi"/>
          <w:sz w:val="24"/>
          <w:szCs w:val="24"/>
        </w:rPr>
        <w:t xml:space="preserve">money </w:t>
      </w:r>
      <w:r w:rsidR="00956AD7" w:rsidRPr="001A4044">
        <w:rPr>
          <w:rFonts w:cstheme="minorHAnsi"/>
          <w:sz w:val="24"/>
          <w:szCs w:val="24"/>
        </w:rPr>
        <w:t>br</w:t>
      </w:r>
      <w:r w:rsidR="00911F0E" w:rsidRPr="001A4044">
        <w:rPr>
          <w:rFonts w:cstheme="minorHAnsi"/>
          <w:sz w:val="24"/>
          <w:szCs w:val="24"/>
        </w:rPr>
        <w:t>eaks down</w:t>
      </w:r>
      <w:r>
        <w:rPr>
          <w:rFonts w:cstheme="minorHAnsi"/>
          <w:sz w:val="24"/>
          <w:szCs w:val="24"/>
        </w:rPr>
        <w:t xml:space="preserve">. These experiments </w:t>
      </w:r>
      <w:r w:rsidR="0062526D">
        <w:rPr>
          <w:rFonts w:cstheme="minorHAnsi"/>
          <w:sz w:val="24"/>
          <w:szCs w:val="24"/>
        </w:rPr>
        <w:t xml:space="preserve">have </w:t>
      </w:r>
      <w:r>
        <w:rPr>
          <w:rFonts w:cstheme="minorHAnsi"/>
          <w:sz w:val="24"/>
          <w:szCs w:val="24"/>
        </w:rPr>
        <w:t>show</w:t>
      </w:r>
      <w:r w:rsidR="0062526D">
        <w:rPr>
          <w:rFonts w:cstheme="minorHAnsi"/>
          <w:sz w:val="24"/>
          <w:szCs w:val="24"/>
        </w:rPr>
        <w:t xml:space="preserve">n </w:t>
      </w:r>
      <w:r>
        <w:rPr>
          <w:rFonts w:cstheme="minorHAnsi"/>
          <w:sz w:val="24"/>
          <w:szCs w:val="24"/>
        </w:rPr>
        <w:t>that the way forward i</w:t>
      </w:r>
      <w:r w:rsidR="0062526D">
        <w:rPr>
          <w:rFonts w:cstheme="minorHAnsi"/>
          <w:sz w:val="24"/>
          <w:szCs w:val="24"/>
        </w:rPr>
        <w:t xml:space="preserve">nvolves two elements: first, </w:t>
      </w:r>
      <w:r w:rsidR="003B4D1F" w:rsidRPr="001A4044">
        <w:rPr>
          <w:rFonts w:cstheme="minorHAnsi"/>
          <w:sz w:val="24"/>
          <w:szCs w:val="24"/>
        </w:rPr>
        <w:t>multi-dimensional valu</w:t>
      </w:r>
      <w:r w:rsidR="00BF5F69" w:rsidRPr="001A4044">
        <w:rPr>
          <w:rFonts w:cstheme="minorHAnsi"/>
          <w:sz w:val="24"/>
          <w:szCs w:val="24"/>
        </w:rPr>
        <w:t>ation</w:t>
      </w:r>
      <w:r>
        <w:rPr>
          <w:rFonts w:cstheme="minorHAnsi"/>
          <w:sz w:val="24"/>
          <w:szCs w:val="24"/>
        </w:rPr>
        <w:t xml:space="preserve">, including </w:t>
      </w:r>
      <w:r w:rsidR="005D2305" w:rsidRPr="001A4044">
        <w:rPr>
          <w:rFonts w:cstheme="minorHAnsi"/>
          <w:sz w:val="24"/>
          <w:szCs w:val="24"/>
        </w:rPr>
        <w:t xml:space="preserve">environmental and social </w:t>
      </w:r>
      <w:r w:rsidR="00FF458B" w:rsidRPr="001A4044">
        <w:rPr>
          <w:rFonts w:cstheme="minorHAnsi"/>
          <w:sz w:val="24"/>
          <w:szCs w:val="24"/>
        </w:rPr>
        <w:t>metrics</w:t>
      </w:r>
      <w:r w:rsidR="0062526D">
        <w:rPr>
          <w:rFonts w:cstheme="minorHAnsi"/>
          <w:sz w:val="24"/>
          <w:szCs w:val="24"/>
        </w:rPr>
        <w:t xml:space="preserve">; second, a way of harmonizing these multiple dimensions with decision metrics that show the gains, losses, and </w:t>
      </w:r>
      <w:proofErr w:type="spellStart"/>
      <w:r w:rsidR="0062526D">
        <w:rPr>
          <w:rFonts w:cstheme="minorHAnsi"/>
          <w:sz w:val="24"/>
          <w:szCs w:val="24"/>
        </w:rPr>
        <w:t>tradeoffs</w:t>
      </w:r>
      <w:proofErr w:type="spellEnd"/>
      <w:r w:rsidR="0062526D">
        <w:rPr>
          <w:rFonts w:cstheme="minorHAnsi"/>
          <w:sz w:val="24"/>
          <w:szCs w:val="24"/>
        </w:rPr>
        <w:t xml:space="preserve"> involved from a 360-degree economic, social, and environmental perspective. </w:t>
      </w:r>
    </w:p>
    <w:p w14:paraId="1D4D0A35" w14:textId="77777777" w:rsidR="0062526D" w:rsidRDefault="0062526D" w:rsidP="00E12974">
      <w:pPr>
        <w:rPr>
          <w:rFonts w:cstheme="minorHAnsi"/>
          <w:sz w:val="24"/>
          <w:szCs w:val="24"/>
        </w:rPr>
      </w:pPr>
      <w:r>
        <w:rPr>
          <w:rFonts w:cstheme="minorHAnsi"/>
          <w:sz w:val="24"/>
          <w:szCs w:val="24"/>
        </w:rPr>
        <w:t xml:space="preserve">It is worth noting that there are close connections between </w:t>
      </w:r>
      <w:r w:rsidR="00831CB8" w:rsidRPr="001A4044">
        <w:rPr>
          <w:rFonts w:cstheme="minorHAnsi"/>
          <w:sz w:val="24"/>
          <w:szCs w:val="24"/>
        </w:rPr>
        <w:t xml:space="preserve">this </w:t>
      </w:r>
      <w:r>
        <w:rPr>
          <w:rFonts w:cstheme="minorHAnsi"/>
          <w:sz w:val="24"/>
          <w:szCs w:val="24"/>
        </w:rPr>
        <w:t xml:space="preserve">evolving </w:t>
      </w:r>
      <w:r w:rsidR="00E77AC9" w:rsidRPr="001A4044">
        <w:rPr>
          <w:rFonts w:cstheme="minorHAnsi"/>
          <w:sz w:val="24"/>
          <w:szCs w:val="24"/>
        </w:rPr>
        <w:t xml:space="preserve">system-of-system </w:t>
      </w:r>
      <w:r w:rsidR="00EC3E8A" w:rsidRPr="001A4044">
        <w:rPr>
          <w:rFonts w:cstheme="minorHAnsi"/>
          <w:sz w:val="24"/>
          <w:szCs w:val="24"/>
        </w:rPr>
        <w:t xml:space="preserve">value </w:t>
      </w:r>
      <w:r w:rsidR="00831CB8" w:rsidRPr="001A4044">
        <w:rPr>
          <w:rFonts w:cstheme="minorHAnsi"/>
          <w:sz w:val="24"/>
          <w:szCs w:val="24"/>
        </w:rPr>
        <w:t>theory and the th</w:t>
      </w:r>
      <w:r w:rsidR="00C81697" w:rsidRPr="001A4044">
        <w:rPr>
          <w:rFonts w:cstheme="minorHAnsi"/>
          <w:sz w:val="24"/>
          <w:szCs w:val="24"/>
        </w:rPr>
        <w:t xml:space="preserve">eory </w:t>
      </w:r>
      <w:r w:rsidR="004C28FB" w:rsidRPr="001A4044">
        <w:rPr>
          <w:rFonts w:cstheme="minorHAnsi"/>
          <w:sz w:val="24"/>
          <w:szCs w:val="24"/>
        </w:rPr>
        <w:t>of</w:t>
      </w:r>
      <w:r w:rsidR="00DB4180" w:rsidRPr="001A4044">
        <w:rPr>
          <w:rFonts w:cstheme="minorHAnsi"/>
          <w:sz w:val="24"/>
          <w:szCs w:val="24"/>
        </w:rPr>
        <w:t xml:space="preserve"> </w:t>
      </w:r>
      <w:r w:rsidR="001E1BA4" w:rsidRPr="001A4044">
        <w:rPr>
          <w:rFonts w:cstheme="minorHAnsi"/>
          <w:sz w:val="24"/>
          <w:szCs w:val="24"/>
        </w:rPr>
        <w:t xml:space="preserve">‘public value’ </w:t>
      </w:r>
      <w:r w:rsidR="00747C3A" w:rsidRPr="001A4044">
        <w:rPr>
          <w:rFonts w:cstheme="minorHAnsi"/>
          <w:sz w:val="24"/>
          <w:szCs w:val="24"/>
        </w:rPr>
        <w:t>t</w:t>
      </w:r>
      <w:r w:rsidR="00831CB8" w:rsidRPr="001A4044">
        <w:rPr>
          <w:rFonts w:cstheme="minorHAnsi"/>
          <w:sz w:val="24"/>
          <w:szCs w:val="24"/>
        </w:rPr>
        <w:t xml:space="preserve">hat </w:t>
      </w:r>
      <w:r w:rsidR="00C81697" w:rsidRPr="001A4044">
        <w:rPr>
          <w:rFonts w:cstheme="minorHAnsi"/>
          <w:sz w:val="24"/>
          <w:szCs w:val="24"/>
        </w:rPr>
        <w:t>underpin</w:t>
      </w:r>
      <w:r w:rsidR="00831CB8" w:rsidRPr="001A4044">
        <w:rPr>
          <w:rFonts w:cstheme="minorHAnsi"/>
          <w:sz w:val="24"/>
          <w:szCs w:val="24"/>
        </w:rPr>
        <w:t>s</w:t>
      </w:r>
      <w:r w:rsidR="001E1BA4" w:rsidRPr="001A4044">
        <w:rPr>
          <w:rFonts w:cstheme="minorHAnsi"/>
          <w:sz w:val="24"/>
          <w:szCs w:val="24"/>
        </w:rPr>
        <w:t xml:space="preserve"> Government industrial and innovation strategy (</w:t>
      </w:r>
      <w:r w:rsidR="004C28FB" w:rsidRPr="001A4044">
        <w:rPr>
          <w:rFonts w:cstheme="minorHAnsi"/>
          <w:sz w:val="24"/>
          <w:szCs w:val="24"/>
        </w:rPr>
        <w:t>MOIIS 2019</w:t>
      </w:r>
      <w:r w:rsidR="001E1BA4" w:rsidRPr="001A4044">
        <w:rPr>
          <w:rFonts w:cstheme="minorHAnsi"/>
          <w:sz w:val="24"/>
          <w:szCs w:val="24"/>
        </w:rPr>
        <w:t>)</w:t>
      </w:r>
      <w:r>
        <w:rPr>
          <w:rFonts w:cstheme="minorHAnsi"/>
          <w:sz w:val="24"/>
          <w:szCs w:val="24"/>
        </w:rPr>
        <w:t xml:space="preserve">. This suggests that it should be feasible to link national and regional strategies using consistent criteria. </w:t>
      </w:r>
    </w:p>
    <w:p w14:paraId="7759A1F3" w14:textId="77777777" w:rsidR="0050312E" w:rsidRDefault="0050312E" w:rsidP="000D0375">
      <w:pPr>
        <w:rPr>
          <w:rFonts w:cstheme="minorHAnsi"/>
          <w:b/>
          <w:bCs/>
          <w:sz w:val="28"/>
          <w:szCs w:val="28"/>
        </w:rPr>
      </w:pPr>
    </w:p>
    <w:p w14:paraId="4CC26239" w14:textId="0F4F7C20" w:rsidR="00E13538" w:rsidRPr="0062526D" w:rsidRDefault="0062526D" w:rsidP="000D0375">
      <w:pPr>
        <w:rPr>
          <w:rFonts w:cstheme="minorHAnsi"/>
          <w:b/>
          <w:bCs/>
          <w:sz w:val="28"/>
          <w:szCs w:val="28"/>
        </w:rPr>
      </w:pPr>
      <w:r w:rsidRPr="0062526D">
        <w:rPr>
          <w:rFonts w:cstheme="minorHAnsi"/>
          <w:b/>
          <w:bCs/>
          <w:sz w:val="28"/>
          <w:szCs w:val="28"/>
        </w:rPr>
        <w:t xml:space="preserve">3. USING THE SYSTEM-OF-SYSTEM APPROACH TO RETHINK VALUE AND SPUR REGIONAL RECOVERY </w:t>
      </w:r>
    </w:p>
    <w:p w14:paraId="5E44DCE0" w14:textId="29453F70" w:rsidR="00EF03C3" w:rsidRPr="0099161A" w:rsidRDefault="0062526D" w:rsidP="000D0375">
      <w:pPr>
        <w:rPr>
          <w:rFonts w:cstheme="minorHAnsi"/>
          <w:sz w:val="24"/>
          <w:szCs w:val="24"/>
        </w:rPr>
      </w:pPr>
      <w:r w:rsidRPr="0099161A">
        <w:rPr>
          <w:rFonts w:cstheme="minorHAnsi"/>
          <w:sz w:val="24"/>
          <w:szCs w:val="24"/>
        </w:rPr>
        <w:t xml:space="preserve">We have noted above that one basis for seeking a new approach to the logic of regional growth and recovery is that extreme impacts of Covid-19 on local residents and businesses. A second basis, and our </w:t>
      </w:r>
      <w:r w:rsidR="00EF03C3" w:rsidRPr="0099161A">
        <w:rPr>
          <w:rFonts w:cstheme="minorHAnsi"/>
          <w:sz w:val="24"/>
          <w:szCs w:val="24"/>
        </w:rPr>
        <w:t>starting point</w:t>
      </w:r>
      <w:r w:rsidR="00A83719" w:rsidRPr="0099161A">
        <w:rPr>
          <w:rFonts w:cstheme="minorHAnsi"/>
          <w:sz w:val="24"/>
          <w:szCs w:val="24"/>
        </w:rPr>
        <w:t xml:space="preserve"> </w:t>
      </w:r>
      <w:r w:rsidRPr="0099161A">
        <w:rPr>
          <w:rFonts w:cstheme="minorHAnsi"/>
          <w:sz w:val="24"/>
          <w:szCs w:val="24"/>
        </w:rPr>
        <w:t xml:space="preserve">here, </w:t>
      </w:r>
      <w:r w:rsidR="00A83719" w:rsidRPr="0099161A">
        <w:rPr>
          <w:rFonts w:cstheme="minorHAnsi"/>
          <w:sz w:val="24"/>
          <w:szCs w:val="24"/>
        </w:rPr>
        <w:t xml:space="preserve">is </w:t>
      </w:r>
      <w:r w:rsidR="00105719" w:rsidRPr="0099161A">
        <w:rPr>
          <w:rFonts w:cstheme="minorHAnsi"/>
          <w:sz w:val="24"/>
          <w:szCs w:val="24"/>
        </w:rPr>
        <w:t>the current Government</w:t>
      </w:r>
      <w:r w:rsidRPr="0099161A">
        <w:rPr>
          <w:rFonts w:cstheme="minorHAnsi"/>
          <w:sz w:val="24"/>
          <w:szCs w:val="24"/>
        </w:rPr>
        <w:t>’s adoption of a</w:t>
      </w:r>
      <w:r w:rsidR="00105719" w:rsidRPr="0099161A">
        <w:rPr>
          <w:rFonts w:cstheme="minorHAnsi"/>
          <w:sz w:val="24"/>
          <w:szCs w:val="24"/>
        </w:rPr>
        <w:t xml:space="preserve"> </w:t>
      </w:r>
      <w:r w:rsidR="00105719" w:rsidRPr="0099161A">
        <w:rPr>
          <w:rFonts w:cstheme="minorHAnsi"/>
          <w:sz w:val="24"/>
          <w:szCs w:val="24"/>
        </w:rPr>
        <w:lastRenderedPageBreak/>
        <w:t>‘mission orientated’ approach to policy</w:t>
      </w:r>
      <w:r w:rsidRPr="0099161A">
        <w:rPr>
          <w:rFonts w:cstheme="minorHAnsi"/>
          <w:sz w:val="24"/>
          <w:szCs w:val="24"/>
        </w:rPr>
        <w:t>, and especially to</w:t>
      </w:r>
      <w:r w:rsidR="00105719" w:rsidRPr="0099161A">
        <w:rPr>
          <w:rFonts w:cstheme="minorHAnsi"/>
          <w:sz w:val="24"/>
          <w:szCs w:val="24"/>
        </w:rPr>
        <w:t xml:space="preserve"> industrial and innovation strategy</w:t>
      </w:r>
      <w:r w:rsidRPr="0099161A">
        <w:rPr>
          <w:rFonts w:cstheme="minorHAnsi"/>
          <w:sz w:val="24"/>
          <w:szCs w:val="24"/>
        </w:rPr>
        <w:t xml:space="preserve">. </w:t>
      </w:r>
      <w:r w:rsidR="0081355D" w:rsidRPr="0099161A">
        <w:rPr>
          <w:rFonts w:cstheme="minorHAnsi"/>
          <w:sz w:val="24"/>
          <w:szCs w:val="24"/>
        </w:rPr>
        <w:t>To take on a g</w:t>
      </w:r>
      <w:r w:rsidR="00D34120" w:rsidRPr="0099161A">
        <w:rPr>
          <w:rFonts w:cstheme="minorHAnsi"/>
          <w:sz w:val="24"/>
          <w:szCs w:val="24"/>
        </w:rPr>
        <w:t>overnment mission</w:t>
      </w:r>
      <w:r w:rsidR="0081355D" w:rsidRPr="0099161A">
        <w:rPr>
          <w:rFonts w:cstheme="minorHAnsi"/>
          <w:sz w:val="24"/>
          <w:szCs w:val="24"/>
        </w:rPr>
        <w:t xml:space="preserve"> is to</w:t>
      </w:r>
      <w:r w:rsidR="00AD7C65" w:rsidRPr="0099161A">
        <w:rPr>
          <w:rFonts w:cstheme="minorHAnsi"/>
          <w:sz w:val="24"/>
          <w:szCs w:val="24"/>
        </w:rPr>
        <w:t xml:space="preserve"> </w:t>
      </w:r>
      <w:r w:rsidR="00FA3DAE" w:rsidRPr="0099161A">
        <w:rPr>
          <w:rFonts w:cstheme="minorHAnsi"/>
          <w:sz w:val="24"/>
          <w:szCs w:val="24"/>
        </w:rPr>
        <w:t>aim at achieving</w:t>
      </w:r>
      <w:r w:rsidR="00AD7C65" w:rsidRPr="0099161A">
        <w:rPr>
          <w:rFonts w:cstheme="minorHAnsi"/>
          <w:sz w:val="24"/>
          <w:szCs w:val="24"/>
        </w:rPr>
        <w:t xml:space="preserve"> public purpose through </w:t>
      </w:r>
      <w:r w:rsidR="0081355D" w:rsidRPr="0099161A">
        <w:rPr>
          <w:rFonts w:cstheme="minorHAnsi"/>
          <w:sz w:val="24"/>
          <w:szCs w:val="24"/>
        </w:rPr>
        <w:t xml:space="preserve">the </w:t>
      </w:r>
      <w:r w:rsidR="00AD7C65" w:rsidRPr="0099161A">
        <w:rPr>
          <w:rFonts w:cstheme="minorHAnsi"/>
          <w:sz w:val="24"/>
          <w:szCs w:val="24"/>
        </w:rPr>
        <w:t xml:space="preserve">creation of </w:t>
      </w:r>
      <w:r w:rsidR="004C28FB" w:rsidRPr="0099161A">
        <w:rPr>
          <w:rFonts w:cstheme="minorHAnsi"/>
          <w:sz w:val="24"/>
          <w:szCs w:val="24"/>
        </w:rPr>
        <w:t>‘</w:t>
      </w:r>
      <w:r w:rsidR="00AD7C65" w:rsidRPr="0099161A">
        <w:rPr>
          <w:rFonts w:cstheme="minorHAnsi"/>
          <w:sz w:val="24"/>
          <w:szCs w:val="24"/>
        </w:rPr>
        <w:t>public value</w:t>
      </w:r>
      <w:r w:rsidR="004C28FB" w:rsidRPr="0099161A">
        <w:rPr>
          <w:rFonts w:cstheme="minorHAnsi"/>
          <w:sz w:val="24"/>
          <w:szCs w:val="24"/>
        </w:rPr>
        <w:t>’</w:t>
      </w:r>
      <w:r w:rsidR="00FA3DAE" w:rsidRPr="0099161A">
        <w:rPr>
          <w:rFonts w:cstheme="minorHAnsi"/>
          <w:sz w:val="24"/>
          <w:szCs w:val="24"/>
        </w:rPr>
        <w:t xml:space="preserve"> (</w:t>
      </w:r>
      <w:proofErr w:type="spellStart"/>
      <w:r w:rsidR="00FA3DAE" w:rsidRPr="0099161A">
        <w:rPr>
          <w:rFonts w:cstheme="minorHAnsi"/>
          <w:sz w:val="24"/>
          <w:szCs w:val="24"/>
        </w:rPr>
        <w:t>Mazzucato</w:t>
      </w:r>
      <w:proofErr w:type="spellEnd"/>
      <w:r w:rsidR="00FA3DAE" w:rsidRPr="0099161A">
        <w:rPr>
          <w:rFonts w:cstheme="minorHAnsi"/>
          <w:sz w:val="24"/>
          <w:szCs w:val="24"/>
        </w:rPr>
        <w:t xml:space="preserve"> </w:t>
      </w:r>
      <w:r w:rsidR="004C28FB" w:rsidRPr="0099161A">
        <w:rPr>
          <w:rFonts w:cstheme="minorHAnsi"/>
          <w:sz w:val="24"/>
          <w:szCs w:val="24"/>
        </w:rPr>
        <w:t xml:space="preserve">and </w:t>
      </w:r>
      <w:proofErr w:type="spellStart"/>
      <w:r w:rsidR="004C28FB" w:rsidRPr="0099161A">
        <w:rPr>
          <w:rFonts w:cstheme="minorHAnsi"/>
          <w:sz w:val="24"/>
          <w:szCs w:val="24"/>
        </w:rPr>
        <w:t>Kattel</w:t>
      </w:r>
      <w:proofErr w:type="spellEnd"/>
      <w:r w:rsidR="004C28FB" w:rsidRPr="0099161A">
        <w:rPr>
          <w:rFonts w:cstheme="minorHAnsi"/>
          <w:sz w:val="24"/>
          <w:szCs w:val="24"/>
        </w:rPr>
        <w:t xml:space="preserve"> </w:t>
      </w:r>
      <w:r w:rsidR="008C7F68" w:rsidRPr="0099161A">
        <w:rPr>
          <w:rFonts w:cstheme="minorHAnsi"/>
          <w:sz w:val="24"/>
          <w:szCs w:val="24"/>
        </w:rPr>
        <w:t>2019</w:t>
      </w:r>
      <w:r w:rsidR="00FA3DAE" w:rsidRPr="0099161A">
        <w:rPr>
          <w:rFonts w:cstheme="minorHAnsi"/>
          <w:sz w:val="24"/>
          <w:szCs w:val="24"/>
        </w:rPr>
        <w:t>)</w:t>
      </w:r>
      <w:r w:rsidR="00AD7C65" w:rsidRPr="0099161A">
        <w:rPr>
          <w:rFonts w:cstheme="minorHAnsi"/>
          <w:sz w:val="24"/>
          <w:szCs w:val="24"/>
        </w:rPr>
        <w:t xml:space="preserve">. </w:t>
      </w:r>
      <w:r w:rsidR="0081355D" w:rsidRPr="0099161A">
        <w:rPr>
          <w:rFonts w:cstheme="minorHAnsi"/>
          <w:sz w:val="24"/>
          <w:szCs w:val="24"/>
        </w:rPr>
        <w:t>As this section shows, ‘</w:t>
      </w:r>
      <w:r w:rsidR="00AD7C65" w:rsidRPr="0099161A">
        <w:rPr>
          <w:rFonts w:cstheme="minorHAnsi"/>
          <w:sz w:val="24"/>
          <w:szCs w:val="24"/>
        </w:rPr>
        <w:t xml:space="preserve">system-of-system’ economic principles of value </w:t>
      </w:r>
      <w:r w:rsidR="00995616" w:rsidRPr="0099161A">
        <w:rPr>
          <w:rFonts w:cstheme="minorHAnsi"/>
          <w:sz w:val="24"/>
          <w:szCs w:val="24"/>
        </w:rPr>
        <w:t>relate</w:t>
      </w:r>
      <w:r w:rsidR="007C7110" w:rsidRPr="0099161A">
        <w:rPr>
          <w:rFonts w:cstheme="minorHAnsi"/>
          <w:sz w:val="24"/>
          <w:szCs w:val="24"/>
        </w:rPr>
        <w:t xml:space="preserve"> closely </w:t>
      </w:r>
      <w:r w:rsidR="00995616" w:rsidRPr="0099161A">
        <w:rPr>
          <w:rFonts w:cstheme="minorHAnsi"/>
          <w:sz w:val="24"/>
          <w:szCs w:val="24"/>
        </w:rPr>
        <w:t>to the concept of</w:t>
      </w:r>
      <w:r w:rsidR="00AD7C65" w:rsidRPr="0099161A">
        <w:rPr>
          <w:rFonts w:cstheme="minorHAnsi"/>
          <w:sz w:val="24"/>
          <w:szCs w:val="24"/>
        </w:rPr>
        <w:t xml:space="preserve"> </w:t>
      </w:r>
      <w:r w:rsidR="008C7F68" w:rsidRPr="0099161A">
        <w:rPr>
          <w:rFonts w:cstheme="minorHAnsi"/>
          <w:sz w:val="24"/>
          <w:szCs w:val="24"/>
        </w:rPr>
        <w:t>‘public value</w:t>
      </w:r>
      <w:r w:rsidR="0081355D" w:rsidRPr="0099161A">
        <w:rPr>
          <w:rFonts w:cstheme="minorHAnsi"/>
          <w:sz w:val="24"/>
          <w:szCs w:val="24"/>
        </w:rPr>
        <w:t xml:space="preserve">’, and as such </w:t>
      </w:r>
      <w:r w:rsidR="00B60083" w:rsidRPr="0099161A">
        <w:rPr>
          <w:rFonts w:cstheme="minorHAnsi"/>
          <w:sz w:val="24"/>
          <w:szCs w:val="24"/>
        </w:rPr>
        <w:t xml:space="preserve">can steer the development of a theoretical and evidence base to support </w:t>
      </w:r>
      <w:r w:rsidR="00153607" w:rsidRPr="0099161A">
        <w:rPr>
          <w:rFonts w:cstheme="minorHAnsi"/>
          <w:sz w:val="24"/>
          <w:szCs w:val="24"/>
        </w:rPr>
        <w:t>regional economic recovery.</w:t>
      </w:r>
      <w:r w:rsidR="007211C2" w:rsidRPr="0099161A">
        <w:rPr>
          <w:rFonts w:cstheme="minorHAnsi"/>
          <w:sz w:val="24"/>
          <w:szCs w:val="24"/>
        </w:rPr>
        <w:t xml:space="preserve"> </w:t>
      </w:r>
      <w:r w:rsidR="0081355D" w:rsidRPr="0099161A">
        <w:rPr>
          <w:rFonts w:cstheme="minorHAnsi"/>
          <w:sz w:val="24"/>
          <w:szCs w:val="24"/>
        </w:rPr>
        <w:t xml:space="preserve">It will be useful to </w:t>
      </w:r>
      <w:r w:rsidR="00987AB2" w:rsidRPr="0099161A">
        <w:rPr>
          <w:rFonts w:cstheme="minorHAnsi"/>
          <w:sz w:val="24"/>
          <w:szCs w:val="24"/>
        </w:rPr>
        <w:t xml:space="preserve">first </w:t>
      </w:r>
      <w:r w:rsidR="00D45AC9" w:rsidRPr="0099161A">
        <w:rPr>
          <w:rFonts w:cstheme="minorHAnsi"/>
          <w:sz w:val="24"/>
          <w:szCs w:val="24"/>
        </w:rPr>
        <w:t xml:space="preserve">contrast the </w:t>
      </w:r>
      <w:r w:rsidR="0081355D" w:rsidRPr="0099161A">
        <w:rPr>
          <w:rFonts w:cstheme="minorHAnsi"/>
          <w:sz w:val="24"/>
          <w:szCs w:val="24"/>
        </w:rPr>
        <w:t xml:space="preserve">standard and </w:t>
      </w:r>
      <w:r w:rsidR="00D45AC9" w:rsidRPr="0099161A">
        <w:rPr>
          <w:rFonts w:cstheme="minorHAnsi"/>
          <w:sz w:val="24"/>
          <w:szCs w:val="24"/>
        </w:rPr>
        <w:t>system-of-s</w:t>
      </w:r>
      <w:r w:rsidR="0009304A" w:rsidRPr="0099161A">
        <w:rPr>
          <w:rFonts w:cstheme="minorHAnsi"/>
          <w:sz w:val="24"/>
          <w:szCs w:val="24"/>
        </w:rPr>
        <w:t>y</w:t>
      </w:r>
      <w:r w:rsidR="00D45AC9" w:rsidRPr="0099161A">
        <w:rPr>
          <w:rFonts w:cstheme="minorHAnsi"/>
          <w:sz w:val="24"/>
          <w:szCs w:val="24"/>
        </w:rPr>
        <w:t xml:space="preserve">stem </w:t>
      </w:r>
      <w:r w:rsidR="0081355D" w:rsidRPr="0099161A">
        <w:rPr>
          <w:rFonts w:cstheme="minorHAnsi"/>
          <w:sz w:val="24"/>
          <w:szCs w:val="24"/>
        </w:rPr>
        <w:t xml:space="preserve">valuation </w:t>
      </w:r>
      <w:r w:rsidR="0009304A" w:rsidRPr="0099161A">
        <w:rPr>
          <w:rFonts w:cstheme="minorHAnsi"/>
          <w:sz w:val="24"/>
          <w:szCs w:val="24"/>
        </w:rPr>
        <w:t>approach</w:t>
      </w:r>
      <w:r w:rsidR="0081355D" w:rsidRPr="0099161A">
        <w:rPr>
          <w:rFonts w:cstheme="minorHAnsi"/>
          <w:sz w:val="24"/>
          <w:szCs w:val="24"/>
        </w:rPr>
        <w:t>es</w:t>
      </w:r>
      <w:r w:rsidR="0009304A" w:rsidRPr="0099161A">
        <w:rPr>
          <w:rFonts w:cstheme="minorHAnsi"/>
          <w:sz w:val="24"/>
          <w:szCs w:val="24"/>
        </w:rPr>
        <w:t xml:space="preserve"> in economics.</w:t>
      </w:r>
      <w:r w:rsidR="0081355D" w:rsidRPr="0099161A">
        <w:rPr>
          <w:rFonts w:cstheme="minorHAnsi"/>
          <w:sz w:val="24"/>
          <w:szCs w:val="24"/>
        </w:rPr>
        <w:t xml:space="preserve"> </w:t>
      </w:r>
    </w:p>
    <w:p w14:paraId="68F4891C" w14:textId="1066D755" w:rsidR="00B615BB" w:rsidRPr="0099161A" w:rsidRDefault="00BC053E" w:rsidP="000D0375">
      <w:pPr>
        <w:rPr>
          <w:rFonts w:cstheme="minorHAnsi"/>
          <w:sz w:val="24"/>
          <w:szCs w:val="24"/>
        </w:rPr>
      </w:pPr>
      <w:r w:rsidRPr="0099161A">
        <w:rPr>
          <w:rFonts w:cstheme="minorHAnsi"/>
          <w:b/>
          <w:bCs/>
          <w:sz w:val="24"/>
          <w:szCs w:val="24"/>
        </w:rPr>
        <w:t>T</w:t>
      </w:r>
      <w:r w:rsidR="0002509A" w:rsidRPr="0099161A">
        <w:rPr>
          <w:rFonts w:cstheme="minorHAnsi"/>
          <w:b/>
          <w:bCs/>
          <w:sz w:val="24"/>
          <w:szCs w:val="24"/>
        </w:rPr>
        <w:t>he</w:t>
      </w:r>
      <w:r w:rsidR="00920B2F" w:rsidRPr="0099161A">
        <w:rPr>
          <w:rFonts w:cstheme="minorHAnsi"/>
          <w:b/>
          <w:bCs/>
          <w:sz w:val="24"/>
          <w:szCs w:val="24"/>
        </w:rPr>
        <w:t xml:space="preserve"> standard approach</w:t>
      </w:r>
      <w:r w:rsidR="006F462F" w:rsidRPr="0099161A">
        <w:rPr>
          <w:rFonts w:cstheme="minorHAnsi"/>
          <w:b/>
          <w:bCs/>
          <w:sz w:val="24"/>
          <w:szCs w:val="24"/>
        </w:rPr>
        <w:t xml:space="preserve"> </w:t>
      </w:r>
      <w:r w:rsidR="00C0006B" w:rsidRPr="0099161A">
        <w:rPr>
          <w:rFonts w:cstheme="minorHAnsi"/>
          <w:sz w:val="24"/>
          <w:szCs w:val="24"/>
        </w:rPr>
        <w:t xml:space="preserve">to economic value </w:t>
      </w:r>
      <w:r w:rsidR="006F462F" w:rsidRPr="0099161A">
        <w:rPr>
          <w:rFonts w:cstheme="minorHAnsi"/>
          <w:sz w:val="24"/>
          <w:szCs w:val="24"/>
        </w:rPr>
        <w:t xml:space="preserve">applies </w:t>
      </w:r>
      <w:r w:rsidR="00B95A8B" w:rsidRPr="0099161A">
        <w:rPr>
          <w:rFonts w:cstheme="minorHAnsi"/>
          <w:sz w:val="24"/>
          <w:szCs w:val="24"/>
        </w:rPr>
        <w:t xml:space="preserve">when </w:t>
      </w:r>
      <w:r w:rsidR="006F462F" w:rsidRPr="0099161A">
        <w:rPr>
          <w:rFonts w:cstheme="minorHAnsi"/>
          <w:sz w:val="24"/>
          <w:szCs w:val="24"/>
        </w:rPr>
        <w:t>expla</w:t>
      </w:r>
      <w:r w:rsidR="00B95A8B" w:rsidRPr="0099161A">
        <w:rPr>
          <w:rFonts w:cstheme="minorHAnsi"/>
          <w:sz w:val="24"/>
          <w:szCs w:val="24"/>
        </w:rPr>
        <w:t>i</w:t>
      </w:r>
      <w:r w:rsidR="006F462F" w:rsidRPr="0099161A">
        <w:rPr>
          <w:rFonts w:cstheme="minorHAnsi"/>
          <w:sz w:val="24"/>
          <w:szCs w:val="24"/>
        </w:rPr>
        <w:t>n</w:t>
      </w:r>
      <w:r w:rsidR="00B95A8B" w:rsidRPr="0099161A">
        <w:rPr>
          <w:rFonts w:cstheme="minorHAnsi"/>
          <w:sz w:val="24"/>
          <w:szCs w:val="24"/>
        </w:rPr>
        <w:t>ing</w:t>
      </w:r>
      <w:r w:rsidR="0002509A" w:rsidRPr="0099161A">
        <w:rPr>
          <w:rFonts w:cstheme="minorHAnsi"/>
          <w:sz w:val="24"/>
          <w:szCs w:val="24"/>
        </w:rPr>
        <w:t xml:space="preserve"> </w:t>
      </w:r>
      <w:r w:rsidR="00CE1AC2" w:rsidRPr="0099161A">
        <w:rPr>
          <w:rFonts w:cstheme="minorHAnsi"/>
          <w:sz w:val="24"/>
          <w:szCs w:val="24"/>
        </w:rPr>
        <w:t xml:space="preserve">what are termed </w:t>
      </w:r>
      <w:r w:rsidR="0002509A" w:rsidRPr="0099161A">
        <w:rPr>
          <w:rFonts w:cstheme="minorHAnsi"/>
          <w:sz w:val="24"/>
          <w:szCs w:val="24"/>
        </w:rPr>
        <w:t>‘marginal’ changes. Th</w:t>
      </w:r>
      <w:r w:rsidR="00CE1AC2" w:rsidRPr="0099161A">
        <w:rPr>
          <w:rFonts w:cstheme="minorHAnsi"/>
          <w:sz w:val="24"/>
          <w:szCs w:val="24"/>
        </w:rPr>
        <w:t>ese are</w:t>
      </w:r>
      <w:r w:rsidR="0002509A" w:rsidRPr="0099161A">
        <w:rPr>
          <w:rFonts w:cstheme="minorHAnsi"/>
          <w:sz w:val="24"/>
          <w:szCs w:val="24"/>
        </w:rPr>
        <w:t xml:space="preserve"> small-scale, short-run changes</w:t>
      </w:r>
      <w:r w:rsidR="00713687" w:rsidRPr="0099161A">
        <w:rPr>
          <w:rFonts w:cstheme="minorHAnsi"/>
          <w:sz w:val="24"/>
          <w:szCs w:val="24"/>
        </w:rPr>
        <w:t xml:space="preserve"> in value allocation</w:t>
      </w:r>
      <w:r w:rsidR="0002509A" w:rsidRPr="0099161A">
        <w:rPr>
          <w:rFonts w:cstheme="minorHAnsi"/>
          <w:sz w:val="24"/>
          <w:szCs w:val="24"/>
        </w:rPr>
        <w:t xml:space="preserve">, in </w:t>
      </w:r>
      <w:r w:rsidR="00920B2F" w:rsidRPr="0099161A">
        <w:rPr>
          <w:rFonts w:cstheme="minorHAnsi"/>
          <w:sz w:val="24"/>
          <w:szCs w:val="24"/>
        </w:rPr>
        <w:t xml:space="preserve">an </w:t>
      </w:r>
      <w:r w:rsidR="0002509A" w:rsidRPr="0099161A">
        <w:rPr>
          <w:rFonts w:cstheme="minorHAnsi"/>
          <w:sz w:val="24"/>
          <w:szCs w:val="24"/>
        </w:rPr>
        <w:t xml:space="preserve">otherwise stable </w:t>
      </w:r>
      <w:r w:rsidR="002262AA" w:rsidRPr="0099161A">
        <w:rPr>
          <w:rFonts w:cstheme="minorHAnsi"/>
          <w:sz w:val="24"/>
          <w:szCs w:val="24"/>
        </w:rPr>
        <w:t>system</w:t>
      </w:r>
      <w:r w:rsidR="0002509A" w:rsidRPr="0099161A">
        <w:rPr>
          <w:rFonts w:cstheme="minorHAnsi"/>
          <w:sz w:val="24"/>
          <w:szCs w:val="24"/>
        </w:rPr>
        <w:t xml:space="preserve">. In such </w:t>
      </w:r>
      <w:r w:rsidR="009435EB" w:rsidRPr="0099161A">
        <w:rPr>
          <w:rFonts w:cstheme="minorHAnsi"/>
          <w:sz w:val="24"/>
          <w:szCs w:val="24"/>
        </w:rPr>
        <w:t xml:space="preserve">suitable </w:t>
      </w:r>
      <w:r w:rsidR="0002509A" w:rsidRPr="0099161A">
        <w:rPr>
          <w:rFonts w:cstheme="minorHAnsi"/>
          <w:sz w:val="24"/>
          <w:szCs w:val="24"/>
        </w:rPr>
        <w:t xml:space="preserve">cases </w:t>
      </w:r>
      <w:r w:rsidR="0002509A" w:rsidRPr="0099161A">
        <w:rPr>
          <w:rFonts w:cstheme="minorHAnsi"/>
          <w:i/>
          <w:iCs/>
          <w:sz w:val="24"/>
          <w:szCs w:val="24"/>
        </w:rPr>
        <w:t>public value is directly proportional to money value</w:t>
      </w:r>
      <w:r w:rsidR="0002509A" w:rsidRPr="0099161A">
        <w:rPr>
          <w:rFonts w:cstheme="minorHAnsi"/>
          <w:sz w:val="24"/>
          <w:szCs w:val="24"/>
        </w:rPr>
        <w:t xml:space="preserve">. </w:t>
      </w:r>
      <w:r w:rsidR="008B7880" w:rsidRPr="0099161A">
        <w:rPr>
          <w:rFonts w:cstheme="minorHAnsi"/>
          <w:sz w:val="24"/>
          <w:szCs w:val="24"/>
        </w:rPr>
        <w:t>Therefore</w:t>
      </w:r>
      <w:r w:rsidR="002D3A86" w:rsidRPr="0099161A">
        <w:rPr>
          <w:rFonts w:cstheme="minorHAnsi"/>
          <w:sz w:val="24"/>
          <w:szCs w:val="24"/>
        </w:rPr>
        <w:t xml:space="preserve">, </w:t>
      </w:r>
      <w:r w:rsidR="00D711D2" w:rsidRPr="0099161A">
        <w:rPr>
          <w:rFonts w:cstheme="minorHAnsi"/>
          <w:sz w:val="24"/>
          <w:szCs w:val="24"/>
        </w:rPr>
        <w:t xml:space="preserve">in these cases, </w:t>
      </w:r>
      <w:r w:rsidR="0002509A" w:rsidRPr="0099161A">
        <w:rPr>
          <w:rFonts w:cstheme="minorHAnsi"/>
          <w:sz w:val="24"/>
          <w:szCs w:val="24"/>
        </w:rPr>
        <w:t xml:space="preserve">public value can be captured money value added, </w:t>
      </w:r>
      <w:r w:rsidR="00920B2F" w:rsidRPr="0099161A">
        <w:rPr>
          <w:rFonts w:cstheme="minorHAnsi"/>
          <w:sz w:val="24"/>
          <w:szCs w:val="24"/>
        </w:rPr>
        <w:t xml:space="preserve">and assessed through monetisation </w:t>
      </w:r>
      <w:r w:rsidR="0002509A" w:rsidRPr="0099161A">
        <w:rPr>
          <w:rFonts w:cstheme="minorHAnsi"/>
          <w:sz w:val="24"/>
          <w:szCs w:val="24"/>
        </w:rPr>
        <w:t>in</w:t>
      </w:r>
      <w:r w:rsidR="00920B2F" w:rsidRPr="0099161A">
        <w:rPr>
          <w:rFonts w:cstheme="minorHAnsi"/>
          <w:sz w:val="24"/>
          <w:szCs w:val="24"/>
        </w:rPr>
        <w:t xml:space="preserve"> standard </w:t>
      </w:r>
      <w:r w:rsidR="0002509A" w:rsidRPr="0099161A">
        <w:rPr>
          <w:rFonts w:cstheme="minorHAnsi"/>
          <w:sz w:val="24"/>
          <w:szCs w:val="24"/>
        </w:rPr>
        <w:t>cost</w:t>
      </w:r>
      <w:r w:rsidR="00920B2F" w:rsidRPr="0099161A">
        <w:rPr>
          <w:rFonts w:cstheme="minorHAnsi"/>
          <w:sz w:val="24"/>
          <w:szCs w:val="24"/>
        </w:rPr>
        <w:t>-</w:t>
      </w:r>
      <w:r w:rsidR="0002509A" w:rsidRPr="0099161A">
        <w:rPr>
          <w:rFonts w:cstheme="minorHAnsi"/>
          <w:sz w:val="24"/>
          <w:szCs w:val="24"/>
        </w:rPr>
        <w:t>benefit analysis</w:t>
      </w:r>
      <w:r w:rsidR="001317F0" w:rsidRPr="0099161A">
        <w:rPr>
          <w:rFonts w:cstheme="minorHAnsi"/>
          <w:sz w:val="24"/>
          <w:szCs w:val="24"/>
        </w:rPr>
        <w:t>.</w:t>
      </w:r>
      <w:r w:rsidR="0002509A" w:rsidRPr="0099161A">
        <w:rPr>
          <w:rFonts w:cstheme="minorHAnsi"/>
          <w:sz w:val="24"/>
          <w:szCs w:val="24"/>
        </w:rPr>
        <w:t xml:space="preserve"> </w:t>
      </w:r>
    </w:p>
    <w:p w14:paraId="22AD014E" w14:textId="6DC5C1C0" w:rsidR="0002509A" w:rsidRPr="0099161A" w:rsidRDefault="001317F0" w:rsidP="000D0375">
      <w:pPr>
        <w:rPr>
          <w:rFonts w:cstheme="minorHAnsi"/>
          <w:sz w:val="24"/>
          <w:szCs w:val="24"/>
        </w:rPr>
      </w:pPr>
      <w:r w:rsidRPr="0099161A">
        <w:rPr>
          <w:rFonts w:cstheme="minorHAnsi"/>
          <w:sz w:val="24"/>
          <w:szCs w:val="24"/>
        </w:rPr>
        <w:t>T</w:t>
      </w:r>
      <w:r w:rsidR="00920B2F" w:rsidRPr="0099161A">
        <w:rPr>
          <w:rFonts w:cstheme="minorHAnsi"/>
          <w:sz w:val="24"/>
          <w:szCs w:val="24"/>
        </w:rPr>
        <w:t>h</w:t>
      </w:r>
      <w:r w:rsidR="003547CC" w:rsidRPr="0099161A">
        <w:rPr>
          <w:rFonts w:cstheme="minorHAnsi"/>
          <w:sz w:val="24"/>
          <w:szCs w:val="24"/>
        </w:rPr>
        <w:t>is</w:t>
      </w:r>
      <w:r w:rsidRPr="0099161A">
        <w:rPr>
          <w:rFonts w:cstheme="minorHAnsi"/>
          <w:sz w:val="24"/>
          <w:szCs w:val="24"/>
        </w:rPr>
        <w:t xml:space="preserve"> coincidence of monetary </w:t>
      </w:r>
      <w:r w:rsidR="003547CC" w:rsidRPr="0099161A">
        <w:rPr>
          <w:rFonts w:cstheme="minorHAnsi"/>
          <w:sz w:val="24"/>
          <w:szCs w:val="24"/>
        </w:rPr>
        <w:t xml:space="preserve">value </w:t>
      </w:r>
      <w:r w:rsidRPr="0099161A">
        <w:rPr>
          <w:rFonts w:cstheme="minorHAnsi"/>
          <w:sz w:val="24"/>
          <w:szCs w:val="24"/>
        </w:rPr>
        <w:t>and public value is expressed in G</w:t>
      </w:r>
      <w:r w:rsidR="00920B2F" w:rsidRPr="0099161A">
        <w:rPr>
          <w:rFonts w:cstheme="minorHAnsi"/>
          <w:sz w:val="24"/>
          <w:szCs w:val="24"/>
        </w:rPr>
        <w:t xml:space="preserve">overnment guidelines </w:t>
      </w:r>
      <w:r w:rsidR="003547CC" w:rsidRPr="0099161A">
        <w:rPr>
          <w:rFonts w:cstheme="minorHAnsi"/>
          <w:sz w:val="24"/>
          <w:szCs w:val="24"/>
        </w:rPr>
        <w:t>by label</w:t>
      </w:r>
      <w:r w:rsidR="00087C93" w:rsidRPr="0099161A">
        <w:rPr>
          <w:rFonts w:cstheme="minorHAnsi"/>
          <w:sz w:val="24"/>
          <w:szCs w:val="24"/>
        </w:rPr>
        <w:t>ling of</w:t>
      </w:r>
      <w:r w:rsidR="003547CC" w:rsidRPr="0099161A">
        <w:rPr>
          <w:rFonts w:cstheme="minorHAnsi"/>
          <w:sz w:val="24"/>
          <w:szCs w:val="24"/>
        </w:rPr>
        <w:t xml:space="preserve"> </w:t>
      </w:r>
      <w:r w:rsidR="00920B2F" w:rsidRPr="0099161A">
        <w:rPr>
          <w:rFonts w:cstheme="minorHAnsi"/>
          <w:sz w:val="24"/>
          <w:szCs w:val="24"/>
        </w:rPr>
        <w:t>cost-benef</w:t>
      </w:r>
      <w:r w:rsidR="0002509A" w:rsidRPr="0099161A">
        <w:rPr>
          <w:rFonts w:cstheme="minorHAnsi"/>
          <w:sz w:val="24"/>
          <w:szCs w:val="24"/>
        </w:rPr>
        <w:t xml:space="preserve">it </w:t>
      </w:r>
      <w:r w:rsidR="00920B2F" w:rsidRPr="0099161A">
        <w:rPr>
          <w:rFonts w:cstheme="minorHAnsi"/>
          <w:sz w:val="24"/>
          <w:szCs w:val="24"/>
        </w:rPr>
        <w:t xml:space="preserve">analysis as </w:t>
      </w:r>
      <w:r w:rsidR="0002509A" w:rsidRPr="0099161A">
        <w:rPr>
          <w:rFonts w:cstheme="minorHAnsi"/>
          <w:sz w:val="24"/>
          <w:szCs w:val="24"/>
        </w:rPr>
        <w:t>‘social</w:t>
      </w:r>
      <w:r w:rsidR="00920B2F" w:rsidRPr="0099161A">
        <w:rPr>
          <w:rFonts w:cstheme="minorHAnsi"/>
          <w:sz w:val="24"/>
          <w:szCs w:val="24"/>
        </w:rPr>
        <w:t>’</w:t>
      </w:r>
      <w:r w:rsidR="0002509A" w:rsidRPr="0099161A">
        <w:rPr>
          <w:rFonts w:cstheme="minorHAnsi"/>
          <w:sz w:val="24"/>
          <w:szCs w:val="24"/>
        </w:rPr>
        <w:t xml:space="preserve"> cost benefit analysis</w:t>
      </w:r>
      <w:r w:rsidR="00AD6653" w:rsidRPr="0099161A">
        <w:rPr>
          <w:rFonts w:cstheme="minorHAnsi"/>
          <w:sz w:val="24"/>
          <w:szCs w:val="24"/>
        </w:rPr>
        <w:t xml:space="preserve">. Here </w:t>
      </w:r>
      <w:r w:rsidR="009E424B" w:rsidRPr="0099161A">
        <w:rPr>
          <w:rFonts w:cstheme="minorHAnsi"/>
          <w:sz w:val="24"/>
          <w:szCs w:val="24"/>
        </w:rPr>
        <w:t>‘</w:t>
      </w:r>
      <w:r w:rsidR="00AD6653" w:rsidRPr="0099161A">
        <w:rPr>
          <w:rFonts w:cstheme="minorHAnsi"/>
          <w:sz w:val="24"/>
          <w:szCs w:val="24"/>
        </w:rPr>
        <w:t>social value</w:t>
      </w:r>
      <w:r w:rsidR="009E424B" w:rsidRPr="0099161A">
        <w:rPr>
          <w:rFonts w:cstheme="minorHAnsi"/>
          <w:sz w:val="24"/>
          <w:szCs w:val="24"/>
        </w:rPr>
        <w:t>’</w:t>
      </w:r>
      <w:r w:rsidR="00AD6653" w:rsidRPr="0099161A">
        <w:rPr>
          <w:rFonts w:cstheme="minorHAnsi"/>
          <w:sz w:val="24"/>
          <w:szCs w:val="24"/>
        </w:rPr>
        <w:t xml:space="preserve"> is a synonym for </w:t>
      </w:r>
      <w:r w:rsidR="009E424B" w:rsidRPr="0099161A">
        <w:rPr>
          <w:rFonts w:cstheme="minorHAnsi"/>
          <w:sz w:val="24"/>
          <w:szCs w:val="24"/>
        </w:rPr>
        <w:t>‘</w:t>
      </w:r>
      <w:r w:rsidR="00AD6653" w:rsidRPr="0099161A">
        <w:rPr>
          <w:rFonts w:cstheme="minorHAnsi"/>
          <w:sz w:val="24"/>
          <w:szCs w:val="24"/>
        </w:rPr>
        <w:t>public value</w:t>
      </w:r>
      <w:r w:rsidR="0002509A" w:rsidRPr="0099161A">
        <w:rPr>
          <w:rFonts w:cstheme="minorHAnsi"/>
          <w:sz w:val="24"/>
          <w:szCs w:val="24"/>
        </w:rPr>
        <w:t>.</w:t>
      </w:r>
      <w:r w:rsidR="009E424B" w:rsidRPr="0099161A">
        <w:rPr>
          <w:rFonts w:cstheme="minorHAnsi"/>
          <w:sz w:val="24"/>
          <w:szCs w:val="24"/>
        </w:rPr>
        <w:t>’</w:t>
      </w:r>
      <w:r w:rsidR="0002509A" w:rsidRPr="0099161A">
        <w:rPr>
          <w:rFonts w:cstheme="minorHAnsi"/>
          <w:sz w:val="24"/>
          <w:szCs w:val="24"/>
        </w:rPr>
        <w:t xml:space="preserve"> </w:t>
      </w:r>
      <w:r w:rsidR="001715B2" w:rsidRPr="0099161A">
        <w:rPr>
          <w:rFonts w:cstheme="minorHAnsi"/>
          <w:sz w:val="24"/>
          <w:szCs w:val="24"/>
        </w:rPr>
        <w:t>Within the</w:t>
      </w:r>
      <w:r w:rsidR="00B53F72" w:rsidRPr="0099161A">
        <w:rPr>
          <w:rFonts w:cstheme="minorHAnsi"/>
          <w:sz w:val="24"/>
          <w:szCs w:val="24"/>
        </w:rPr>
        <w:t xml:space="preserve"> </w:t>
      </w:r>
      <w:r w:rsidR="002D3A86" w:rsidRPr="0099161A">
        <w:rPr>
          <w:rFonts w:cstheme="minorHAnsi"/>
          <w:sz w:val="24"/>
          <w:szCs w:val="24"/>
        </w:rPr>
        <w:t xml:space="preserve">standard </w:t>
      </w:r>
      <w:r w:rsidR="00B53F72" w:rsidRPr="0099161A">
        <w:rPr>
          <w:rFonts w:cstheme="minorHAnsi"/>
          <w:sz w:val="24"/>
          <w:szCs w:val="24"/>
        </w:rPr>
        <w:t>approach</w:t>
      </w:r>
      <w:r w:rsidR="00B615BB" w:rsidRPr="0099161A">
        <w:rPr>
          <w:rFonts w:cstheme="minorHAnsi"/>
          <w:sz w:val="24"/>
          <w:szCs w:val="24"/>
        </w:rPr>
        <w:t xml:space="preserve">, </w:t>
      </w:r>
      <w:r w:rsidR="00B53F72" w:rsidRPr="0099161A">
        <w:rPr>
          <w:rFonts w:cstheme="minorHAnsi"/>
          <w:sz w:val="24"/>
          <w:szCs w:val="24"/>
        </w:rPr>
        <w:t xml:space="preserve">economists have a distinct role, </w:t>
      </w:r>
      <w:r w:rsidR="00084AE8" w:rsidRPr="0099161A">
        <w:rPr>
          <w:rFonts w:cstheme="minorHAnsi"/>
          <w:sz w:val="24"/>
          <w:szCs w:val="24"/>
        </w:rPr>
        <w:t xml:space="preserve">monetising costs and benefits, </w:t>
      </w:r>
      <w:r w:rsidR="00B53F72" w:rsidRPr="0099161A">
        <w:rPr>
          <w:rFonts w:cstheme="minorHAnsi"/>
          <w:sz w:val="24"/>
          <w:szCs w:val="24"/>
        </w:rPr>
        <w:t>when working in interdisciplinary teams (</w:t>
      </w:r>
      <w:proofErr w:type="gramStart"/>
      <w:r w:rsidR="00B53F72" w:rsidRPr="0099161A">
        <w:rPr>
          <w:rFonts w:cstheme="minorHAnsi"/>
          <w:sz w:val="24"/>
          <w:szCs w:val="24"/>
        </w:rPr>
        <w:t>e.g.</w:t>
      </w:r>
      <w:proofErr w:type="gramEnd"/>
      <w:r w:rsidR="00B53F72" w:rsidRPr="0099161A">
        <w:rPr>
          <w:rFonts w:cstheme="minorHAnsi"/>
          <w:sz w:val="24"/>
          <w:szCs w:val="24"/>
        </w:rPr>
        <w:t xml:space="preserve"> with engineers, environmental scientists or health services researchers)</w:t>
      </w:r>
      <w:r w:rsidR="00EF1B1E" w:rsidRPr="0099161A">
        <w:rPr>
          <w:rFonts w:cstheme="minorHAnsi"/>
          <w:sz w:val="24"/>
          <w:szCs w:val="24"/>
        </w:rPr>
        <w:t>.</w:t>
      </w:r>
      <w:r w:rsidR="005D6DC1" w:rsidRPr="0099161A">
        <w:rPr>
          <w:rFonts w:cstheme="minorHAnsi"/>
          <w:sz w:val="24"/>
          <w:szCs w:val="24"/>
        </w:rPr>
        <w:t xml:space="preserve"> Yorkshire academics are world leaders in health, transport and environmental economics, </w:t>
      </w:r>
      <w:r w:rsidR="005D05A7" w:rsidRPr="0099161A">
        <w:rPr>
          <w:rFonts w:cstheme="minorHAnsi"/>
          <w:sz w:val="24"/>
          <w:szCs w:val="24"/>
        </w:rPr>
        <w:t xml:space="preserve">which are </w:t>
      </w:r>
      <w:r w:rsidR="005D6DC1" w:rsidRPr="0099161A">
        <w:rPr>
          <w:rFonts w:cstheme="minorHAnsi"/>
          <w:sz w:val="24"/>
          <w:szCs w:val="24"/>
        </w:rPr>
        <w:t>based on th</w:t>
      </w:r>
      <w:r w:rsidR="005D05A7" w:rsidRPr="0099161A">
        <w:rPr>
          <w:rFonts w:cstheme="minorHAnsi"/>
          <w:sz w:val="24"/>
          <w:szCs w:val="24"/>
        </w:rPr>
        <w:t>is</w:t>
      </w:r>
      <w:r w:rsidR="005D6DC1" w:rsidRPr="0099161A">
        <w:rPr>
          <w:rFonts w:cstheme="minorHAnsi"/>
          <w:sz w:val="24"/>
          <w:szCs w:val="24"/>
        </w:rPr>
        <w:t xml:space="preserve"> standard approach.</w:t>
      </w:r>
    </w:p>
    <w:p w14:paraId="133E322B" w14:textId="16346ECF" w:rsidR="00736E19" w:rsidRPr="0099161A" w:rsidRDefault="00B53F72" w:rsidP="000D0375">
      <w:pPr>
        <w:rPr>
          <w:rFonts w:cstheme="minorHAnsi"/>
          <w:sz w:val="24"/>
          <w:szCs w:val="24"/>
        </w:rPr>
      </w:pPr>
      <w:r w:rsidRPr="0099161A">
        <w:rPr>
          <w:rFonts w:cstheme="minorHAnsi"/>
          <w:b/>
          <w:bCs/>
          <w:sz w:val="24"/>
          <w:szCs w:val="24"/>
        </w:rPr>
        <w:t xml:space="preserve">System-of-system </w:t>
      </w:r>
      <w:r w:rsidR="00475D31" w:rsidRPr="0099161A">
        <w:rPr>
          <w:rFonts w:cstheme="minorHAnsi"/>
          <w:b/>
          <w:bCs/>
          <w:sz w:val="24"/>
          <w:szCs w:val="24"/>
        </w:rPr>
        <w:t xml:space="preserve">economic </w:t>
      </w:r>
      <w:r w:rsidR="00500BC4" w:rsidRPr="0099161A">
        <w:rPr>
          <w:rFonts w:cstheme="minorHAnsi"/>
          <w:b/>
          <w:bCs/>
          <w:sz w:val="24"/>
          <w:szCs w:val="24"/>
        </w:rPr>
        <w:t>principles</w:t>
      </w:r>
      <w:r w:rsidR="00CF1B4B" w:rsidRPr="0099161A">
        <w:rPr>
          <w:rFonts w:cstheme="minorHAnsi"/>
          <w:b/>
          <w:bCs/>
          <w:sz w:val="24"/>
          <w:szCs w:val="24"/>
        </w:rPr>
        <w:t xml:space="preserve"> and public value</w:t>
      </w:r>
      <w:r w:rsidR="0081355D" w:rsidRPr="0099161A">
        <w:rPr>
          <w:rFonts w:cstheme="minorHAnsi"/>
          <w:b/>
          <w:bCs/>
          <w:sz w:val="24"/>
          <w:szCs w:val="24"/>
        </w:rPr>
        <w:t xml:space="preserve">. </w:t>
      </w:r>
      <w:r w:rsidR="00FE1AFD" w:rsidRPr="0099161A">
        <w:rPr>
          <w:rFonts w:cstheme="minorHAnsi"/>
          <w:sz w:val="24"/>
          <w:szCs w:val="24"/>
        </w:rPr>
        <w:t>The system-of-system approach applies for cases of ‘non-marginal’ change. This</w:t>
      </w:r>
      <w:r w:rsidR="00084E88" w:rsidRPr="0099161A">
        <w:rPr>
          <w:rFonts w:cstheme="minorHAnsi"/>
          <w:sz w:val="24"/>
          <w:szCs w:val="24"/>
        </w:rPr>
        <w:t xml:space="preserve"> means</w:t>
      </w:r>
      <w:r w:rsidR="00AD1611" w:rsidRPr="0099161A">
        <w:rPr>
          <w:rFonts w:cstheme="minorHAnsi"/>
          <w:sz w:val="24"/>
          <w:szCs w:val="24"/>
        </w:rPr>
        <w:t xml:space="preserve"> it is applicable</w:t>
      </w:r>
      <w:r w:rsidR="00174DFC" w:rsidRPr="0099161A">
        <w:rPr>
          <w:rFonts w:cstheme="minorHAnsi"/>
          <w:sz w:val="24"/>
          <w:szCs w:val="24"/>
        </w:rPr>
        <w:t xml:space="preserve"> for</w:t>
      </w:r>
      <w:r w:rsidR="00690C1F" w:rsidRPr="0099161A">
        <w:rPr>
          <w:rFonts w:cstheme="minorHAnsi"/>
          <w:sz w:val="24"/>
          <w:szCs w:val="24"/>
        </w:rPr>
        <w:t xml:space="preserve"> </w:t>
      </w:r>
      <w:r w:rsidR="00E603B1" w:rsidRPr="0099161A">
        <w:rPr>
          <w:rFonts w:cstheme="minorHAnsi"/>
          <w:sz w:val="24"/>
          <w:szCs w:val="24"/>
        </w:rPr>
        <w:t xml:space="preserve">explaining </w:t>
      </w:r>
      <w:r w:rsidR="008549EF" w:rsidRPr="0099161A">
        <w:rPr>
          <w:rFonts w:cstheme="minorHAnsi"/>
          <w:sz w:val="24"/>
          <w:szCs w:val="24"/>
        </w:rPr>
        <w:t xml:space="preserve">large-scale, </w:t>
      </w:r>
      <w:r w:rsidR="00DB0995" w:rsidRPr="0099161A">
        <w:rPr>
          <w:rFonts w:cstheme="minorHAnsi"/>
          <w:sz w:val="24"/>
          <w:szCs w:val="24"/>
        </w:rPr>
        <w:t xml:space="preserve">long-run </w:t>
      </w:r>
      <w:r w:rsidR="00FE1AFD" w:rsidRPr="0099161A">
        <w:rPr>
          <w:rFonts w:cstheme="minorHAnsi"/>
          <w:sz w:val="24"/>
          <w:szCs w:val="24"/>
        </w:rPr>
        <w:t>value creation</w:t>
      </w:r>
      <w:r w:rsidR="00174DFC" w:rsidRPr="0099161A">
        <w:rPr>
          <w:rFonts w:cstheme="minorHAnsi"/>
          <w:sz w:val="24"/>
          <w:szCs w:val="24"/>
        </w:rPr>
        <w:t xml:space="preserve"> (</w:t>
      </w:r>
      <w:r w:rsidR="00E603B1" w:rsidRPr="0099161A">
        <w:rPr>
          <w:rFonts w:cstheme="minorHAnsi"/>
          <w:sz w:val="24"/>
          <w:szCs w:val="24"/>
        </w:rPr>
        <w:t xml:space="preserve">or </w:t>
      </w:r>
      <w:r w:rsidR="00174DFC" w:rsidRPr="0099161A">
        <w:rPr>
          <w:rFonts w:cstheme="minorHAnsi"/>
          <w:sz w:val="24"/>
          <w:szCs w:val="24"/>
        </w:rPr>
        <w:t>destruction)</w:t>
      </w:r>
      <w:r w:rsidR="00FE1AFD" w:rsidRPr="0099161A">
        <w:rPr>
          <w:rFonts w:cstheme="minorHAnsi"/>
          <w:sz w:val="24"/>
          <w:szCs w:val="24"/>
        </w:rPr>
        <w:t>,</w:t>
      </w:r>
      <w:r w:rsidR="00174DFC" w:rsidRPr="0099161A">
        <w:rPr>
          <w:rFonts w:cstheme="minorHAnsi"/>
          <w:sz w:val="24"/>
          <w:szCs w:val="24"/>
        </w:rPr>
        <w:t xml:space="preserve"> </w:t>
      </w:r>
      <w:r w:rsidR="00E50660" w:rsidRPr="0099161A">
        <w:rPr>
          <w:rFonts w:cstheme="minorHAnsi"/>
          <w:sz w:val="24"/>
          <w:szCs w:val="24"/>
        </w:rPr>
        <w:t xml:space="preserve">in </w:t>
      </w:r>
      <w:r w:rsidR="00234D7F" w:rsidRPr="0099161A">
        <w:rPr>
          <w:rFonts w:cstheme="minorHAnsi"/>
          <w:sz w:val="24"/>
          <w:szCs w:val="24"/>
        </w:rPr>
        <w:t>a dynamic system</w:t>
      </w:r>
      <w:r w:rsidR="00D63E53" w:rsidRPr="0099161A">
        <w:rPr>
          <w:rFonts w:cstheme="minorHAnsi"/>
          <w:sz w:val="24"/>
          <w:szCs w:val="24"/>
        </w:rPr>
        <w:t xml:space="preserve"> (involv</w:t>
      </w:r>
      <w:r w:rsidR="007C07E1" w:rsidRPr="0099161A">
        <w:rPr>
          <w:rFonts w:cstheme="minorHAnsi"/>
          <w:sz w:val="24"/>
          <w:szCs w:val="24"/>
        </w:rPr>
        <w:t>ing</w:t>
      </w:r>
      <w:r w:rsidR="00D63E53" w:rsidRPr="0099161A">
        <w:rPr>
          <w:rFonts w:cstheme="minorHAnsi"/>
          <w:sz w:val="24"/>
          <w:szCs w:val="24"/>
        </w:rPr>
        <w:t xml:space="preserve"> ‘</w:t>
      </w:r>
      <w:r w:rsidR="00A91893" w:rsidRPr="0099161A">
        <w:rPr>
          <w:rFonts w:cstheme="minorHAnsi"/>
          <w:sz w:val="24"/>
          <w:szCs w:val="24"/>
        </w:rPr>
        <w:t>feedback</w:t>
      </w:r>
      <w:r w:rsidR="00D63E53" w:rsidRPr="0099161A">
        <w:rPr>
          <w:rFonts w:cstheme="minorHAnsi"/>
          <w:sz w:val="24"/>
          <w:szCs w:val="24"/>
        </w:rPr>
        <w:t>’)</w:t>
      </w:r>
      <w:r w:rsidR="00FE1AFD" w:rsidRPr="0099161A">
        <w:rPr>
          <w:rFonts w:cstheme="minorHAnsi"/>
          <w:sz w:val="24"/>
          <w:szCs w:val="24"/>
        </w:rPr>
        <w:t>.</w:t>
      </w:r>
      <w:r w:rsidR="00C3628D" w:rsidRPr="0099161A">
        <w:rPr>
          <w:rFonts w:cstheme="minorHAnsi"/>
          <w:sz w:val="24"/>
          <w:szCs w:val="24"/>
        </w:rPr>
        <w:t xml:space="preserve"> I</w:t>
      </w:r>
      <w:r w:rsidR="00F75BFD" w:rsidRPr="0099161A">
        <w:rPr>
          <w:rFonts w:cstheme="minorHAnsi"/>
          <w:sz w:val="24"/>
          <w:szCs w:val="24"/>
        </w:rPr>
        <w:t>n</w:t>
      </w:r>
      <w:r w:rsidR="00C3628D" w:rsidRPr="0099161A">
        <w:rPr>
          <w:rFonts w:cstheme="minorHAnsi"/>
          <w:sz w:val="24"/>
          <w:szCs w:val="24"/>
        </w:rPr>
        <w:t xml:space="preserve"> such cases</w:t>
      </w:r>
      <w:r w:rsidR="00966D97" w:rsidRPr="0099161A">
        <w:rPr>
          <w:rFonts w:cstheme="minorHAnsi"/>
          <w:sz w:val="24"/>
          <w:szCs w:val="24"/>
        </w:rPr>
        <w:t xml:space="preserve">, </w:t>
      </w:r>
      <w:r w:rsidR="00966D97" w:rsidRPr="0099161A">
        <w:rPr>
          <w:rFonts w:cstheme="minorHAnsi"/>
          <w:i/>
          <w:iCs/>
          <w:sz w:val="24"/>
          <w:szCs w:val="24"/>
        </w:rPr>
        <w:t>public value is not directly proportional to money value</w:t>
      </w:r>
      <w:r w:rsidR="007454F8" w:rsidRPr="0099161A">
        <w:rPr>
          <w:rFonts w:cstheme="minorHAnsi"/>
          <w:sz w:val="24"/>
          <w:szCs w:val="24"/>
        </w:rPr>
        <w:t>.</w:t>
      </w:r>
      <w:r w:rsidR="00617896" w:rsidRPr="0099161A">
        <w:rPr>
          <w:rFonts w:cstheme="minorHAnsi"/>
          <w:sz w:val="24"/>
          <w:szCs w:val="24"/>
        </w:rPr>
        <w:t xml:space="preserve"> </w:t>
      </w:r>
      <w:r w:rsidR="00A4099E" w:rsidRPr="0099161A">
        <w:rPr>
          <w:rFonts w:cstheme="minorHAnsi"/>
          <w:sz w:val="24"/>
          <w:szCs w:val="24"/>
        </w:rPr>
        <w:t>S</w:t>
      </w:r>
      <w:r w:rsidR="003F5E47" w:rsidRPr="0099161A">
        <w:rPr>
          <w:rFonts w:cstheme="minorHAnsi"/>
          <w:sz w:val="24"/>
          <w:szCs w:val="24"/>
        </w:rPr>
        <w:t xml:space="preserve">everal </w:t>
      </w:r>
      <w:r w:rsidR="00A4099E" w:rsidRPr="0099161A">
        <w:rPr>
          <w:rFonts w:cstheme="minorHAnsi"/>
          <w:sz w:val="24"/>
          <w:szCs w:val="24"/>
        </w:rPr>
        <w:t>consequences follow</w:t>
      </w:r>
      <w:r w:rsidR="00084246" w:rsidRPr="0099161A">
        <w:rPr>
          <w:rFonts w:cstheme="minorHAnsi"/>
          <w:sz w:val="24"/>
          <w:szCs w:val="24"/>
        </w:rPr>
        <w:t>:</w:t>
      </w:r>
    </w:p>
    <w:p w14:paraId="4C21B211" w14:textId="6D9F1654" w:rsidR="00D04B47" w:rsidRPr="0099161A" w:rsidRDefault="00E13300" w:rsidP="00FC465A">
      <w:pPr>
        <w:pStyle w:val="ListParagraph"/>
        <w:numPr>
          <w:ilvl w:val="0"/>
          <w:numId w:val="16"/>
        </w:numPr>
        <w:rPr>
          <w:rFonts w:cstheme="minorHAnsi"/>
          <w:sz w:val="24"/>
          <w:szCs w:val="24"/>
        </w:rPr>
      </w:pPr>
      <w:r w:rsidRPr="0099161A">
        <w:rPr>
          <w:rFonts w:cstheme="minorHAnsi"/>
          <w:b/>
          <w:bCs/>
          <w:sz w:val="24"/>
          <w:szCs w:val="24"/>
        </w:rPr>
        <w:t>Public v</w:t>
      </w:r>
      <w:r w:rsidR="00D04B47" w:rsidRPr="0099161A">
        <w:rPr>
          <w:rFonts w:cstheme="minorHAnsi"/>
          <w:b/>
          <w:bCs/>
          <w:sz w:val="24"/>
          <w:szCs w:val="24"/>
        </w:rPr>
        <w:t>alue is multidimensional</w:t>
      </w:r>
      <w:r w:rsidR="0081355D" w:rsidRPr="0099161A">
        <w:rPr>
          <w:rFonts w:cstheme="minorHAnsi"/>
          <w:sz w:val="24"/>
          <w:szCs w:val="24"/>
        </w:rPr>
        <w:t xml:space="preserve"> - </w:t>
      </w:r>
      <w:r w:rsidR="00D04B47" w:rsidRPr="0099161A">
        <w:rPr>
          <w:rFonts w:cstheme="minorHAnsi"/>
          <w:sz w:val="24"/>
          <w:szCs w:val="24"/>
        </w:rPr>
        <w:t>Public value stretches across social, environmental, health, and technical dimensions, not just financial.</w:t>
      </w:r>
    </w:p>
    <w:p w14:paraId="085B912F" w14:textId="306ECEC7" w:rsidR="0081076C" w:rsidRPr="0099161A" w:rsidRDefault="009471A8" w:rsidP="00635C97">
      <w:pPr>
        <w:pStyle w:val="ListParagraph"/>
        <w:numPr>
          <w:ilvl w:val="0"/>
          <w:numId w:val="16"/>
        </w:numPr>
        <w:rPr>
          <w:rFonts w:cstheme="minorHAnsi"/>
          <w:sz w:val="24"/>
          <w:szCs w:val="24"/>
        </w:rPr>
      </w:pPr>
      <w:r w:rsidRPr="0099161A">
        <w:rPr>
          <w:rFonts w:cstheme="minorHAnsi"/>
          <w:b/>
          <w:bCs/>
          <w:sz w:val="24"/>
          <w:szCs w:val="24"/>
        </w:rPr>
        <w:t xml:space="preserve">Value </w:t>
      </w:r>
      <w:r w:rsidR="003926D7" w:rsidRPr="0099161A">
        <w:rPr>
          <w:rFonts w:cstheme="minorHAnsi"/>
          <w:b/>
          <w:bCs/>
          <w:sz w:val="24"/>
          <w:szCs w:val="24"/>
        </w:rPr>
        <w:t xml:space="preserve">creation processes </w:t>
      </w:r>
      <w:r w:rsidR="00155DFD" w:rsidRPr="0099161A">
        <w:rPr>
          <w:rFonts w:cstheme="minorHAnsi"/>
          <w:b/>
          <w:bCs/>
          <w:sz w:val="24"/>
          <w:szCs w:val="24"/>
        </w:rPr>
        <w:t>ha</w:t>
      </w:r>
      <w:r w:rsidR="003926D7" w:rsidRPr="0099161A">
        <w:rPr>
          <w:rFonts w:cstheme="minorHAnsi"/>
          <w:b/>
          <w:bCs/>
          <w:sz w:val="24"/>
          <w:szCs w:val="24"/>
        </w:rPr>
        <w:t>ve</w:t>
      </w:r>
      <w:r w:rsidR="00155DFD" w:rsidRPr="0099161A">
        <w:rPr>
          <w:rFonts w:cstheme="minorHAnsi"/>
          <w:b/>
          <w:bCs/>
          <w:sz w:val="24"/>
          <w:szCs w:val="24"/>
        </w:rPr>
        <w:t xml:space="preserve"> a </w:t>
      </w:r>
      <w:r w:rsidR="00155DFD" w:rsidRPr="0099161A">
        <w:rPr>
          <w:rFonts w:cstheme="minorHAnsi"/>
          <w:b/>
          <w:bCs/>
          <w:i/>
          <w:iCs/>
          <w:sz w:val="24"/>
          <w:szCs w:val="24"/>
        </w:rPr>
        <w:t>direction</w:t>
      </w:r>
      <w:r w:rsidR="00155DFD" w:rsidRPr="0099161A">
        <w:rPr>
          <w:rFonts w:cstheme="minorHAnsi"/>
          <w:b/>
          <w:bCs/>
          <w:sz w:val="24"/>
          <w:szCs w:val="24"/>
        </w:rPr>
        <w:t xml:space="preserve"> as well as a </w:t>
      </w:r>
      <w:r w:rsidR="00155DFD" w:rsidRPr="0099161A">
        <w:rPr>
          <w:rFonts w:cstheme="minorHAnsi"/>
          <w:b/>
          <w:bCs/>
          <w:i/>
          <w:iCs/>
          <w:sz w:val="24"/>
          <w:szCs w:val="24"/>
        </w:rPr>
        <w:t>rat</w:t>
      </w:r>
      <w:r w:rsidR="00305473" w:rsidRPr="0099161A">
        <w:rPr>
          <w:rFonts w:cstheme="minorHAnsi"/>
          <w:b/>
          <w:bCs/>
          <w:i/>
          <w:iCs/>
          <w:sz w:val="24"/>
          <w:szCs w:val="24"/>
        </w:rPr>
        <w:t>e</w:t>
      </w:r>
      <w:r w:rsidR="0081355D" w:rsidRPr="0099161A">
        <w:rPr>
          <w:rFonts w:cstheme="minorHAnsi"/>
          <w:b/>
          <w:bCs/>
          <w:i/>
          <w:iCs/>
          <w:sz w:val="24"/>
          <w:szCs w:val="24"/>
        </w:rPr>
        <w:t xml:space="preserve"> - </w:t>
      </w:r>
      <w:r w:rsidR="0081076C" w:rsidRPr="0099161A">
        <w:rPr>
          <w:rFonts w:cstheme="minorHAnsi"/>
          <w:sz w:val="24"/>
          <w:szCs w:val="24"/>
        </w:rPr>
        <w:t xml:space="preserve">For example, </w:t>
      </w:r>
      <w:r w:rsidR="006A41D9" w:rsidRPr="0099161A">
        <w:rPr>
          <w:rFonts w:cstheme="minorHAnsi"/>
          <w:sz w:val="24"/>
          <w:szCs w:val="24"/>
        </w:rPr>
        <w:t xml:space="preserve">in recent years, </w:t>
      </w:r>
      <w:r w:rsidR="00D577B6" w:rsidRPr="0099161A">
        <w:rPr>
          <w:rFonts w:cstheme="minorHAnsi"/>
          <w:sz w:val="24"/>
          <w:szCs w:val="24"/>
        </w:rPr>
        <w:t xml:space="preserve">the direction </w:t>
      </w:r>
      <w:r w:rsidR="00E66CC0" w:rsidRPr="0099161A">
        <w:rPr>
          <w:rFonts w:cstheme="minorHAnsi"/>
          <w:sz w:val="24"/>
          <w:szCs w:val="24"/>
        </w:rPr>
        <w:t>of g</w:t>
      </w:r>
      <w:r w:rsidR="003E761F" w:rsidRPr="0099161A">
        <w:rPr>
          <w:rFonts w:cstheme="minorHAnsi"/>
          <w:sz w:val="24"/>
          <w:szCs w:val="24"/>
        </w:rPr>
        <w:t>row</w:t>
      </w:r>
      <w:r w:rsidR="008139A3" w:rsidRPr="0099161A">
        <w:rPr>
          <w:rFonts w:cstheme="minorHAnsi"/>
          <w:sz w:val="24"/>
          <w:szCs w:val="24"/>
        </w:rPr>
        <w:t xml:space="preserve">th has been </w:t>
      </w:r>
      <w:r w:rsidR="00D577B6" w:rsidRPr="0099161A">
        <w:rPr>
          <w:rFonts w:cstheme="minorHAnsi"/>
          <w:sz w:val="24"/>
          <w:szCs w:val="24"/>
        </w:rPr>
        <w:t xml:space="preserve">towards </w:t>
      </w:r>
      <w:r w:rsidR="00C34183" w:rsidRPr="0099161A">
        <w:rPr>
          <w:rFonts w:cstheme="minorHAnsi"/>
          <w:sz w:val="24"/>
          <w:szCs w:val="24"/>
        </w:rPr>
        <w:t>delet</w:t>
      </w:r>
      <w:r w:rsidR="00572759" w:rsidRPr="0099161A">
        <w:rPr>
          <w:rFonts w:cstheme="minorHAnsi"/>
          <w:sz w:val="24"/>
          <w:szCs w:val="24"/>
        </w:rPr>
        <w:t>e</w:t>
      </w:r>
      <w:r w:rsidR="00C34183" w:rsidRPr="0099161A">
        <w:rPr>
          <w:rFonts w:cstheme="minorHAnsi"/>
          <w:sz w:val="24"/>
          <w:szCs w:val="24"/>
        </w:rPr>
        <w:t>rious climate change and, on some measures, increasing inequality.</w:t>
      </w:r>
      <w:r w:rsidR="003E761F" w:rsidRPr="0099161A">
        <w:rPr>
          <w:rFonts w:cstheme="minorHAnsi"/>
          <w:sz w:val="24"/>
          <w:szCs w:val="24"/>
        </w:rPr>
        <w:t xml:space="preserve"> </w:t>
      </w:r>
    </w:p>
    <w:p w14:paraId="690C6BFC" w14:textId="77777777" w:rsidR="00A9243F" w:rsidRPr="0099161A" w:rsidRDefault="0081355D" w:rsidP="00245B03">
      <w:pPr>
        <w:pStyle w:val="ListParagraph"/>
        <w:numPr>
          <w:ilvl w:val="0"/>
          <w:numId w:val="16"/>
        </w:numPr>
        <w:rPr>
          <w:rFonts w:cstheme="minorHAnsi"/>
          <w:sz w:val="24"/>
          <w:szCs w:val="24"/>
        </w:rPr>
      </w:pPr>
      <w:r w:rsidRPr="0099161A">
        <w:rPr>
          <w:rFonts w:cstheme="minorHAnsi"/>
          <w:b/>
          <w:bCs/>
          <w:sz w:val="24"/>
          <w:szCs w:val="24"/>
        </w:rPr>
        <w:t xml:space="preserve">Value creation processes and outcomes are co-shaped by the state - </w:t>
      </w:r>
      <w:r w:rsidRPr="0099161A">
        <w:rPr>
          <w:rFonts w:cstheme="minorHAnsi"/>
          <w:sz w:val="24"/>
          <w:szCs w:val="24"/>
        </w:rPr>
        <w:t xml:space="preserve">For the system-of-systems approach, the rationale for Government policy is not just ‘market fixing’ (applicable only in standard approach) but what </w:t>
      </w:r>
      <w:proofErr w:type="spellStart"/>
      <w:r w:rsidRPr="0099161A">
        <w:rPr>
          <w:rFonts w:cstheme="minorHAnsi"/>
          <w:sz w:val="24"/>
          <w:szCs w:val="24"/>
        </w:rPr>
        <w:t>Mazzucato</w:t>
      </w:r>
      <w:proofErr w:type="spellEnd"/>
      <w:r w:rsidRPr="0099161A">
        <w:rPr>
          <w:rFonts w:cstheme="minorHAnsi"/>
          <w:sz w:val="24"/>
          <w:szCs w:val="24"/>
        </w:rPr>
        <w:t xml:space="preserve"> calls ‘market shaping,’ more broadly </w:t>
      </w:r>
      <w:r w:rsidRPr="0099161A">
        <w:rPr>
          <w:rFonts w:cstheme="minorHAnsi"/>
          <w:i/>
          <w:iCs/>
          <w:sz w:val="24"/>
          <w:szCs w:val="24"/>
        </w:rPr>
        <w:t>shaping the processes of value creation and capture, for public purpose, via public value</w:t>
      </w:r>
      <w:r w:rsidRPr="0099161A">
        <w:rPr>
          <w:rFonts w:cstheme="minorHAnsi"/>
          <w:sz w:val="24"/>
          <w:szCs w:val="24"/>
        </w:rPr>
        <w:t xml:space="preserve"> </w:t>
      </w:r>
      <w:r w:rsidRPr="0099161A">
        <w:rPr>
          <w:rFonts w:cstheme="minorHAnsi"/>
          <w:i/>
          <w:iCs/>
          <w:sz w:val="24"/>
          <w:szCs w:val="24"/>
        </w:rPr>
        <w:t>creation</w:t>
      </w:r>
      <w:r w:rsidRPr="0099161A">
        <w:rPr>
          <w:rFonts w:cstheme="minorHAnsi"/>
          <w:sz w:val="24"/>
          <w:szCs w:val="24"/>
        </w:rPr>
        <w:t>.</w:t>
      </w:r>
      <w:r w:rsidR="00A9243F" w:rsidRPr="0099161A">
        <w:rPr>
          <w:rFonts w:cstheme="minorHAnsi"/>
          <w:sz w:val="24"/>
          <w:szCs w:val="24"/>
        </w:rPr>
        <w:t xml:space="preserve"> </w:t>
      </w:r>
    </w:p>
    <w:p w14:paraId="0BB061BD" w14:textId="5844F8DF" w:rsidR="00A9243F" w:rsidRPr="0099161A" w:rsidRDefault="009E2838" w:rsidP="00245B03">
      <w:pPr>
        <w:pStyle w:val="ListParagraph"/>
        <w:numPr>
          <w:ilvl w:val="0"/>
          <w:numId w:val="16"/>
        </w:numPr>
        <w:rPr>
          <w:rFonts w:cstheme="minorHAnsi"/>
          <w:sz w:val="24"/>
          <w:szCs w:val="24"/>
        </w:rPr>
      </w:pPr>
      <w:r w:rsidRPr="0099161A">
        <w:rPr>
          <w:rFonts w:cstheme="minorHAnsi"/>
          <w:b/>
          <w:bCs/>
          <w:sz w:val="24"/>
          <w:szCs w:val="24"/>
        </w:rPr>
        <w:t>Value creation processes</w:t>
      </w:r>
      <w:r w:rsidR="003922B8" w:rsidRPr="0099161A">
        <w:rPr>
          <w:rFonts w:cstheme="minorHAnsi"/>
          <w:b/>
          <w:bCs/>
          <w:sz w:val="24"/>
          <w:szCs w:val="24"/>
        </w:rPr>
        <w:t xml:space="preserve"> </w:t>
      </w:r>
      <w:r w:rsidR="00AC3B13" w:rsidRPr="0099161A">
        <w:rPr>
          <w:rFonts w:cstheme="minorHAnsi"/>
          <w:b/>
          <w:bCs/>
          <w:sz w:val="24"/>
          <w:szCs w:val="24"/>
        </w:rPr>
        <w:t xml:space="preserve">and outcomes </w:t>
      </w:r>
      <w:r w:rsidR="007F6B3F" w:rsidRPr="0099161A">
        <w:rPr>
          <w:rFonts w:cstheme="minorHAnsi"/>
          <w:b/>
          <w:bCs/>
          <w:sz w:val="24"/>
          <w:szCs w:val="24"/>
        </w:rPr>
        <w:t>v</w:t>
      </w:r>
      <w:r w:rsidR="00B76D1D" w:rsidRPr="0099161A">
        <w:rPr>
          <w:rFonts w:cstheme="minorHAnsi"/>
          <w:b/>
          <w:bCs/>
          <w:sz w:val="24"/>
          <w:szCs w:val="24"/>
        </w:rPr>
        <w:t xml:space="preserve">ary by </w:t>
      </w:r>
      <w:r w:rsidR="006C1D82" w:rsidRPr="0099161A">
        <w:rPr>
          <w:rFonts w:cstheme="minorHAnsi"/>
          <w:b/>
          <w:bCs/>
          <w:i/>
          <w:iCs/>
          <w:sz w:val="24"/>
          <w:szCs w:val="24"/>
        </w:rPr>
        <w:t>good or service</w:t>
      </w:r>
      <w:r w:rsidR="00FD0078" w:rsidRPr="0099161A">
        <w:rPr>
          <w:rFonts w:cstheme="minorHAnsi"/>
          <w:b/>
          <w:bCs/>
          <w:sz w:val="24"/>
          <w:szCs w:val="24"/>
        </w:rPr>
        <w:t>;</w:t>
      </w:r>
      <w:r w:rsidR="006C1D82" w:rsidRPr="0099161A">
        <w:rPr>
          <w:rFonts w:cstheme="minorHAnsi"/>
          <w:b/>
          <w:bCs/>
          <w:sz w:val="24"/>
          <w:szCs w:val="24"/>
        </w:rPr>
        <w:t xml:space="preserve"> by</w:t>
      </w:r>
      <w:r w:rsidR="00F515E9" w:rsidRPr="0099161A">
        <w:rPr>
          <w:rFonts w:cstheme="minorHAnsi"/>
          <w:b/>
          <w:bCs/>
          <w:sz w:val="24"/>
          <w:szCs w:val="24"/>
        </w:rPr>
        <w:t xml:space="preserve"> </w:t>
      </w:r>
      <w:r w:rsidR="00F515E9" w:rsidRPr="0099161A">
        <w:rPr>
          <w:rFonts w:cstheme="minorHAnsi"/>
          <w:b/>
          <w:bCs/>
          <w:i/>
          <w:iCs/>
          <w:sz w:val="24"/>
          <w:szCs w:val="24"/>
        </w:rPr>
        <w:t>time</w:t>
      </w:r>
      <w:r w:rsidR="00FD0078" w:rsidRPr="0099161A">
        <w:rPr>
          <w:rFonts w:cstheme="minorHAnsi"/>
          <w:b/>
          <w:bCs/>
          <w:sz w:val="24"/>
          <w:szCs w:val="24"/>
        </w:rPr>
        <w:t>;</w:t>
      </w:r>
      <w:r w:rsidR="006C1D82" w:rsidRPr="0099161A">
        <w:rPr>
          <w:rFonts w:cstheme="minorHAnsi"/>
          <w:b/>
          <w:bCs/>
          <w:sz w:val="24"/>
          <w:szCs w:val="24"/>
        </w:rPr>
        <w:t xml:space="preserve"> and by </w:t>
      </w:r>
      <w:r w:rsidR="00A9243F" w:rsidRPr="0099161A">
        <w:rPr>
          <w:rFonts w:cstheme="minorHAnsi"/>
          <w:b/>
          <w:bCs/>
          <w:i/>
          <w:iCs/>
          <w:sz w:val="24"/>
          <w:szCs w:val="24"/>
        </w:rPr>
        <w:t>pl</w:t>
      </w:r>
      <w:r w:rsidR="00F515E9" w:rsidRPr="0099161A">
        <w:rPr>
          <w:rFonts w:cstheme="minorHAnsi"/>
          <w:b/>
          <w:bCs/>
          <w:i/>
          <w:iCs/>
          <w:sz w:val="24"/>
          <w:szCs w:val="24"/>
        </w:rPr>
        <w:t>ace</w:t>
      </w:r>
      <w:r w:rsidR="00A9243F" w:rsidRPr="0099161A">
        <w:rPr>
          <w:rFonts w:cstheme="minorHAnsi"/>
          <w:b/>
          <w:bCs/>
          <w:i/>
          <w:iCs/>
          <w:sz w:val="24"/>
          <w:szCs w:val="24"/>
        </w:rPr>
        <w:t xml:space="preserve"> </w:t>
      </w:r>
      <w:proofErr w:type="gramStart"/>
      <w:r w:rsidR="00A9243F" w:rsidRPr="0099161A">
        <w:rPr>
          <w:rFonts w:cstheme="minorHAnsi"/>
          <w:b/>
          <w:bCs/>
          <w:i/>
          <w:iCs/>
          <w:sz w:val="24"/>
          <w:szCs w:val="24"/>
        </w:rPr>
        <w:t xml:space="preserve">- </w:t>
      </w:r>
      <w:r w:rsidR="00B76D1D" w:rsidRPr="0099161A">
        <w:rPr>
          <w:rFonts w:cstheme="minorHAnsi"/>
          <w:b/>
          <w:bCs/>
          <w:sz w:val="24"/>
          <w:szCs w:val="24"/>
        </w:rPr>
        <w:t xml:space="preserve"> </w:t>
      </w:r>
      <w:r w:rsidR="00A9243F" w:rsidRPr="0099161A">
        <w:rPr>
          <w:rFonts w:cstheme="minorHAnsi"/>
          <w:sz w:val="24"/>
          <w:szCs w:val="24"/>
        </w:rPr>
        <w:t>Time</w:t>
      </w:r>
      <w:proofErr w:type="gramEnd"/>
      <w:r w:rsidR="00A9243F" w:rsidRPr="0099161A">
        <w:rPr>
          <w:rFonts w:cstheme="minorHAnsi"/>
          <w:sz w:val="24"/>
          <w:szCs w:val="24"/>
        </w:rPr>
        <w:t xml:space="preserve"> and place-based variegation in value creation co-shapes, and is shaped by, individual systems of provision. Analyses must encompass both the whole system and each individual sub-system – that is, they must take a </w:t>
      </w:r>
      <w:r w:rsidR="00A9243F" w:rsidRPr="0099161A">
        <w:rPr>
          <w:rFonts w:cstheme="minorHAnsi"/>
          <w:i/>
          <w:iCs/>
          <w:sz w:val="24"/>
          <w:szCs w:val="24"/>
        </w:rPr>
        <w:t>system-of-systems</w:t>
      </w:r>
      <w:r w:rsidR="00A9243F" w:rsidRPr="0099161A">
        <w:rPr>
          <w:rFonts w:cstheme="minorHAnsi"/>
          <w:b/>
          <w:bCs/>
          <w:sz w:val="24"/>
          <w:szCs w:val="24"/>
        </w:rPr>
        <w:t xml:space="preserve"> </w:t>
      </w:r>
      <w:r w:rsidR="00A9243F" w:rsidRPr="0099161A">
        <w:rPr>
          <w:rFonts w:cstheme="minorHAnsi"/>
          <w:sz w:val="24"/>
          <w:szCs w:val="24"/>
        </w:rPr>
        <w:t xml:space="preserve">approach. These elements of variegation deserve some further elaboration. </w:t>
      </w:r>
    </w:p>
    <w:p w14:paraId="1E6B9AD7" w14:textId="7C6D645E" w:rsidR="006E2ACD" w:rsidRPr="0099161A" w:rsidRDefault="00DD0010" w:rsidP="00750192">
      <w:pPr>
        <w:rPr>
          <w:rFonts w:cstheme="minorHAnsi"/>
          <w:sz w:val="24"/>
          <w:szCs w:val="24"/>
        </w:rPr>
      </w:pPr>
      <w:r w:rsidRPr="0099161A">
        <w:rPr>
          <w:rFonts w:cstheme="minorHAnsi"/>
          <w:b/>
          <w:bCs/>
          <w:i/>
          <w:iCs/>
          <w:sz w:val="24"/>
          <w:szCs w:val="24"/>
        </w:rPr>
        <w:t>Good or service</w:t>
      </w:r>
      <w:r w:rsidR="00E30CD1" w:rsidRPr="0099161A">
        <w:rPr>
          <w:rFonts w:cstheme="minorHAnsi"/>
          <w:b/>
          <w:bCs/>
          <w:i/>
          <w:iCs/>
          <w:sz w:val="24"/>
          <w:szCs w:val="24"/>
        </w:rPr>
        <w:t xml:space="preserve"> variegation</w:t>
      </w:r>
      <w:r w:rsidRPr="0099161A">
        <w:rPr>
          <w:rFonts w:cstheme="minorHAnsi"/>
          <w:sz w:val="24"/>
          <w:szCs w:val="24"/>
        </w:rPr>
        <w:t xml:space="preserve">: </w:t>
      </w:r>
      <w:r w:rsidR="006A411B" w:rsidRPr="0099161A">
        <w:rPr>
          <w:rFonts w:cstheme="minorHAnsi"/>
          <w:sz w:val="24"/>
          <w:szCs w:val="24"/>
        </w:rPr>
        <w:t xml:space="preserve">Different kinds or categories of </w:t>
      </w:r>
      <w:r w:rsidR="003E3DC4" w:rsidRPr="0099161A">
        <w:rPr>
          <w:rFonts w:cstheme="minorHAnsi"/>
          <w:sz w:val="24"/>
          <w:szCs w:val="24"/>
        </w:rPr>
        <w:t>good or servic</w:t>
      </w:r>
      <w:r w:rsidR="000B5480" w:rsidRPr="0099161A">
        <w:rPr>
          <w:rFonts w:cstheme="minorHAnsi"/>
          <w:sz w:val="24"/>
          <w:szCs w:val="24"/>
        </w:rPr>
        <w:t>e</w:t>
      </w:r>
      <w:r w:rsidR="006A411B" w:rsidRPr="0099161A">
        <w:rPr>
          <w:rFonts w:cstheme="minorHAnsi"/>
          <w:sz w:val="24"/>
          <w:szCs w:val="24"/>
        </w:rPr>
        <w:t xml:space="preserve"> invo</w:t>
      </w:r>
      <w:r w:rsidR="000B5480" w:rsidRPr="0099161A">
        <w:rPr>
          <w:rFonts w:cstheme="minorHAnsi"/>
          <w:sz w:val="24"/>
          <w:szCs w:val="24"/>
        </w:rPr>
        <w:t>l</w:t>
      </w:r>
      <w:r w:rsidR="006A411B" w:rsidRPr="0099161A">
        <w:rPr>
          <w:rFonts w:cstheme="minorHAnsi"/>
          <w:sz w:val="24"/>
          <w:szCs w:val="24"/>
        </w:rPr>
        <w:t>ve</w:t>
      </w:r>
      <w:r w:rsidR="00DF15F0" w:rsidRPr="0099161A">
        <w:rPr>
          <w:rFonts w:cstheme="minorHAnsi"/>
          <w:sz w:val="24"/>
          <w:szCs w:val="24"/>
        </w:rPr>
        <w:t xml:space="preserve"> different </w:t>
      </w:r>
      <w:r w:rsidR="00A55EAF" w:rsidRPr="0099161A">
        <w:rPr>
          <w:rFonts w:cstheme="minorHAnsi"/>
          <w:sz w:val="24"/>
          <w:szCs w:val="24"/>
        </w:rPr>
        <w:t xml:space="preserve">systems of </w:t>
      </w:r>
      <w:r w:rsidR="00526AC4" w:rsidRPr="0099161A">
        <w:rPr>
          <w:rFonts w:cstheme="minorHAnsi"/>
          <w:sz w:val="24"/>
          <w:szCs w:val="24"/>
        </w:rPr>
        <w:t>value creation</w:t>
      </w:r>
      <w:r w:rsidR="001E1CB8" w:rsidRPr="0099161A">
        <w:rPr>
          <w:rFonts w:cstheme="minorHAnsi"/>
          <w:sz w:val="24"/>
          <w:szCs w:val="24"/>
        </w:rPr>
        <w:t xml:space="preserve"> and capture</w:t>
      </w:r>
      <w:r w:rsidR="00946647" w:rsidRPr="0099161A">
        <w:rPr>
          <w:rFonts w:cstheme="minorHAnsi"/>
          <w:sz w:val="24"/>
          <w:szCs w:val="24"/>
        </w:rPr>
        <w:t xml:space="preserve">: </w:t>
      </w:r>
      <w:proofErr w:type="gramStart"/>
      <w:r w:rsidR="006A411B" w:rsidRPr="0099161A">
        <w:rPr>
          <w:rFonts w:cstheme="minorHAnsi"/>
          <w:sz w:val="24"/>
          <w:szCs w:val="24"/>
        </w:rPr>
        <w:t>e.g.</w:t>
      </w:r>
      <w:proofErr w:type="gramEnd"/>
      <w:r w:rsidR="006A411B" w:rsidRPr="0099161A">
        <w:rPr>
          <w:rFonts w:cstheme="minorHAnsi"/>
          <w:sz w:val="24"/>
          <w:szCs w:val="24"/>
        </w:rPr>
        <w:t xml:space="preserve"> in </w:t>
      </w:r>
      <w:r w:rsidR="00946647" w:rsidRPr="0099161A">
        <w:rPr>
          <w:rFonts w:cstheme="minorHAnsi"/>
          <w:sz w:val="24"/>
          <w:szCs w:val="24"/>
        </w:rPr>
        <w:t xml:space="preserve">health, food, water, energy, and so </w:t>
      </w:r>
      <w:r w:rsidR="00946647" w:rsidRPr="0099161A">
        <w:rPr>
          <w:rFonts w:cstheme="minorHAnsi"/>
          <w:sz w:val="24"/>
          <w:szCs w:val="24"/>
        </w:rPr>
        <w:lastRenderedPageBreak/>
        <w:t xml:space="preserve">on. </w:t>
      </w:r>
      <w:r w:rsidR="004D7DB8" w:rsidRPr="0099161A">
        <w:rPr>
          <w:rFonts w:cstheme="minorHAnsi"/>
          <w:sz w:val="24"/>
          <w:szCs w:val="24"/>
        </w:rPr>
        <w:t xml:space="preserve">We call </w:t>
      </w:r>
      <w:r w:rsidR="00A55EAF" w:rsidRPr="0099161A">
        <w:rPr>
          <w:rFonts w:cstheme="minorHAnsi"/>
          <w:sz w:val="24"/>
          <w:szCs w:val="24"/>
        </w:rPr>
        <w:t xml:space="preserve">each </w:t>
      </w:r>
      <w:r w:rsidR="000B5480" w:rsidRPr="0099161A">
        <w:rPr>
          <w:rFonts w:cstheme="minorHAnsi"/>
          <w:sz w:val="24"/>
          <w:szCs w:val="24"/>
        </w:rPr>
        <w:t xml:space="preserve">a </w:t>
      </w:r>
      <w:r w:rsidR="004D7DB8" w:rsidRPr="0099161A">
        <w:rPr>
          <w:rFonts w:cstheme="minorHAnsi"/>
          <w:sz w:val="24"/>
          <w:szCs w:val="24"/>
        </w:rPr>
        <w:t>‘</w:t>
      </w:r>
      <w:r w:rsidR="004D7DB8" w:rsidRPr="0099161A">
        <w:rPr>
          <w:rFonts w:cstheme="minorHAnsi"/>
          <w:b/>
          <w:bCs/>
          <w:sz w:val="24"/>
          <w:szCs w:val="24"/>
        </w:rPr>
        <w:t>system of provision</w:t>
      </w:r>
      <w:r w:rsidR="004D7DB8" w:rsidRPr="0099161A">
        <w:rPr>
          <w:rFonts w:cstheme="minorHAnsi"/>
          <w:sz w:val="24"/>
          <w:szCs w:val="24"/>
        </w:rPr>
        <w:t>.’</w:t>
      </w:r>
      <w:r w:rsidR="00F83CD4" w:rsidRPr="0099161A">
        <w:rPr>
          <w:rFonts w:cstheme="minorHAnsi"/>
          <w:sz w:val="24"/>
          <w:szCs w:val="24"/>
        </w:rPr>
        <w:t xml:space="preserve"> Each differentially influences the direction and rate of growth</w:t>
      </w:r>
      <w:r w:rsidR="00D671F6" w:rsidRPr="0099161A">
        <w:rPr>
          <w:rFonts w:cstheme="minorHAnsi"/>
          <w:sz w:val="24"/>
          <w:szCs w:val="24"/>
        </w:rPr>
        <w:t xml:space="preserve"> and requires</w:t>
      </w:r>
      <w:r w:rsidR="000E402B" w:rsidRPr="0099161A">
        <w:rPr>
          <w:rFonts w:cstheme="minorHAnsi"/>
          <w:sz w:val="24"/>
          <w:szCs w:val="24"/>
        </w:rPr>
        <w:t xml:space="preserve"> bespoke</w:t>
      </w:r>
      <w:r w:rsidR="00D838A0" w:rsidRPr="0099161A">
        <w:rPr>
          <w:rFonts w:cstheme="minorHAnsi"/>
          <w:sz w:val="24"/>
          <w:szCs w:val="24"/>
        </w:rPr>
        <w:t xml:space="preserve"> theoretical and empirical analysi</w:t>
      </w:r>
      <w:r w:rsidR="007776FB" w:rsidRPr="0099161A">
        <w:rPr>
          <w:rFonts w:cstheme="minorHAnsi"/>
          <w:sz w:val="24"/>
          <w:szCs w:val="24"/>
        </w:rPr>
        <w:t>s</w:t>
      </w:r>
      <w:r w:rsidR="00673FE2" w:rsidRPr="0099161A">
        <w:rPr>
          <w:rFonts w:cstheme="minorHAnsi"/>
          <w:sz w:val="24"/>
          <w:szCs w:val="24"/>
        </w:rPr>
        <w:t xml:space="preserve">, </w:t>
      </w:r>
      <w:r w:rsidR="009B1249" w:rsidRPr="0099161A">
        <w:rPr>
          <w:rFonts w:cstheme="minorHAnsi"/>
          <w:sz w:val="24"/>
          <w:szCs w:val="24"/>
        </w:rPr>
        <w:t>combining disciplinary expertise in unique ways</w:t>
      </w:r>
      <w:r w:rsidR="007776FB" w:rsidRPr="0099161A">
        <w:rPr>
          <w:rFonts w:cstheme="minorHAnsi"/>
          <w:sz w:val="24"/>
          <w:szCs w:val="24"/>
        </w:rPr>
        <w:t>.</w:t>
      </w:r>
    </w:p>
    <w:p w14:paraId="3EE473B9" w14:textId="18DA3AD4" w:rsidR="00106958" w:rsidRPr="0099161A" w:rsidRDefault="00905BBB" w:rsidP="00750192">
      <w:pPr>
        <w:rPr>
          <w:rFonts w:cstheme="minorHAnsi"/>
          <w:sz w:val="24"/>
          <w:szCs w:val="24"/>
        </w:rPr>
      </w:pPr>
      <w:r w:rsidRPr="0099161A">
        <w:rPr>
          <w:rFonts w:cstheme="minorHAnsi"/>
          <w:b/>
          <w:bCs/>
          <w:i/>
          <w:iCs/>
          <w:sz w:val="24"/>
          <w:szCs w:val="24"/>
        </w:rPr>
        <w:t>Temporal variegation</w:t>
      </w:r>
      <w:r w:rsidR="004C007F" w:rsidRPr="0099161A">
        <w:rPr>
          <w:rFonts w:cstheme="minorHAnsi"/>
          <w:b/>
          <w:bCs/>
          <w:sz w:val="24"/>
          <w:szCs w:val="24"/>
        </w:rPr>
        <w:t>:</w:t>
      </w:r>
      <w:r w:rsidR="00274A4B" w:rsidRPr="0099161A">
        <w:rPr>
          <w:rFonts w:cstheme="minorHAnsi"/>
          <w:sz w:val="24"/>
          <w:szCs w:val="24"/>
        </w:rPr>
        <w:t xml:space="preserve"> </w:t>
      </w:r>
      <w:r w:rsidR="00106958" w:rsidRPr="0099161A">
        <w:rPr>
          <w:rFonts w:cstheme="minorHAnsi"/>
          <w:sz w:val="24"/>
          <w:szCs w:val="24"/>
        </w:rPr>
        <w:t>Th</w:t>
      </w:r>
      <w:r w:rsidR="00A85B15" w:rsidRPr="0099161A">
        <w:rPr>
          <w:rFonts w:cstheme="minorHAnsi"/>
          <w:sz w:val="24"/>
          <w:szCs w:val="24"/>
        </w:rPr>
        <w:t>ere are distinct historical periods</w:t>
      </w:r>
      <w:r w:rsidR="004C356C" w:rsidRPr="0099161A">
        <w:rPr>
          <w:rFonts w:cstheme="minorHAnsi"/>
          <w:sz w:val="24"/>
          <w:szCs w:val="24"/>
        </w:rPr>
        <w:t xml:space="preserve"> of value creation</w:t>
      </w:r>
      <w:r w:rsidR="00434727" w:rsidRPr="0099161A">
        <w:rPr>
          <w:rFonts w:cstheme="minorHAnsi"/>
          <w:sz w:val="24"/>
          <w:szCs w:val="24"/>
        </w:rPr>
        <w:t>. For example</w:t>
      </w:r>
      <w:r w:rsidR="002E6F59" w:rsidRPr="0099161A">
        <w:rPr>
          <w:rFonts w:cstheme="minorHAnsi"/>
          <w:sz w:val="24"/>
          <w:szCs w:val="24"/>
        </w:rPr>
        <w:t>,</w:t>
      </w:r>
      <w:r w:rsidR="00434727" w:rsidRPr="0099161A">
        <w:rPr>
          <w:rFonts w:cstheme="minorHAnsi"/>
          <w:sz w:val="24"/>
          <w:szCs w:val="24"/>
        </w:rPr>
        <w:t xml:space="preserve"> in the post-war boom </w:t>
      </w:r>
      <w:r w:rsidR="008C1C06" w:rsidRPr="0099161A">
        <w:rPr>
          <w:rFonts w:cstheme="minorHAnsi"/>
          <w:sz w:val="24"/>
          <w:szCs w:val="24"/>
        </w:rPr>
        <w:t xml:space="preserve">finance was </w:t>
      </w:r>
      <w:r w:rsidR="00FB5DD3" w:rsidRPr="0099161A">
        <w:rPr>
          <w:rFonts w:cstheme="minorHAnsi"/>
          <w:sz w:val="24"/>
          <w:szCs w:val="24"/>
        </w:rPr>
        <w:t xml:space="preserve">heavily </w:t>
      </w:r>
      <w:r w:rsidR="008C1C06" w:rsidRPr="0099161A">
        <w:rPr>
          <w:rFonts w:cstheme="minorHAnsi"/>
          <w:sz w:val="24"/>
          <w:szCs w:val="24"/>
        </w:rPr>
        <w:t xml:space="preserve">regulated and </w:t>
      </w:r>
      <w:r w:rsidR="00E2736B" w:rsidRPr="0099161A">
        <w:rPr>
          <w:rFonts w:cstheme="minorHAnsi"/>
          <w:sz w:val="24"/>
          <w:szCs w:val="24"/>
        </w:rPr>
        <w:t xml:space="preserve">the </w:t>
      </w:r>
      <w:r w:rsidR="008C1C06" w:rsidRPr="0099161A">
        <w:rPr>
          <w:rFonts w:cstheme="minorHAnsi"/>
          <w:sz w:val="24"/>
          <w:szCs w:val="24"/>
        </w:rPr>
        <w:t>welfare</w:t>
      </w:r>
      <w:r w:rsidR="00E2736B" w:rsidRPr="0099161A">
        <w:rPr>
          <w:rFonts w:cstheme="minorHAnsi"/>
          <w:sz w:val="24"/>
          <w:szCs w:val="24"/>
        </w:rPr>
        <w:t xml:space="preserve"> state emerged. </w:t>
      </w:r>
      <w:r w:rsidR="007E7FB9" w:rsidRPr="0099161A">
        <w:rPr>
          <w:rFonts w:cstheme="minorHAnsi"/>
          <w:sz w:val="24"/>
          <w:szCs w:val="24"/>
        </w:rPr>
        <w:t>By contra</w:t>
      </w:r>
      <w:r w:rsidR="00722DD8" w:rsidRPr="0099161A">
        <w:rPr>
          <w:rFonts w:cstheme="minorHAnsi"/>
          <w:sz w:val="24"/>
          <w:szCs w:val="24"/>
        </w:rPr>
        <w:t>s</w:t>
      </w:r>
      <w:r w:rsidR="007E7FB9" w:rsidRPr="0099161A">
        <w:rPr>
          <w:rFonts w:cstheme="minorHAnsi"/>
          <w:sz w:val="24"/>
          <w:szCs w:val="24"/>
        </w:rPr>
        <w:t>t</w:t>
      </w:r>
      <w:r w:rsidR="004B299E" w:rsidRPr="0099161A">
        <w:rPr>
          <w:rFonts w:cstheme="minorHAnsi"/>
          <w:sz w:val="24"/>
          <w:szCs w:val="24"/>
        </w:rPr>
        <w:t>,</w:t>
      </w:r>
      <w:r w:rsidR="007E7FB9" w:rsidRPr="0099161A">
        <w:rPr>
          <w:rFonts w:cstheme="minorHAnsi"/>
          <w:sz w:val="24"/>
          <w:szCs w:val="24"/>
        </w:rPr>
        <w:t xml:space="preserve"> the past 35 years </w:t>
      </w:r>
      <w:r w:rsidR="001A3C65" w:rsidRPr="0099161A">
        <w:rPr>
          <w:rFonts w:cstheme="minorHAnsi"/>
          <w:sz w:val="24"/>
          <w:szCs w:val="24"/>
        </w:rPr>
        <w:t>involved</w:t>
      </w:r>
      <w:r w:rsidR="00EC2EA9" w:rsidRPr="0099161A">
        <w:rPr>
          <w:rFonts w:cstheme="minorHAnsi"/>
          <w:sz w:val="24"/>
          <w:szCs w:val="24"/>
        </w:rPr>
        <w:t xml:space="preserve"> </w:t>
      </w:r>
      <w:r w:rsidR="007E7FB9" w:rsidRPr="0099161A">
        <w:rPr>
          <w:rFonts w:cstheme="minorHAnsi"/>
          <w:sz w:val="24"/>
          <w:szCs w:val="24"/>
        </w:rPr>
        <w:t>financial</w:t>
      </w:r>
      <w:r w:rsidR="000B5E1F" w:rsidRPr="0099161A">
        <w:rPr>
          <w:rFonts w:cstheme="minorHAnsi"/>
          <w:sz w:val="24"/>
          <w:szCs w:val="24"/>
        </w:rPr>
        <w:t xml:space="preserve"> and labour </w:t>
      </w:r>
      <w:r w:rsidR="007E7FB9" w:rsidRPr="0099161A">
        <w:rPr>
          <w:rFonts w:cstheme="minorHAnsi"/>
          <w:sz w:val="24"/>
          <w:szCs w:val="24"/>
        </w:rPr>
        <w:t>deregulation and</w:t>
      </w:r>
      <w:r w:rsidR="00EC2EA9" w:rsidRPr="0099161A">
        <w:rPr>
          <w:rFonts w:cstheme="minorHAnsi"/>
          <w:sz w:val="24"/>
          <w:szCs w:val="24"/>
        </w:rPr>
        <w:t xml:space="preserve"> </w:t>
      </w:r>
      <w:r w:rsidR="00481CDB" w:rsidRPr="0099161A">
        <w:rPr>
          <w:rFonts w:cstheme="minorHAnsi"/>
          <w:sz w:val="24"/>
          <w:szCs w:val="24"/>
        </w:rPr>
        <w:t xml:space="preserve">varied </w:t>
      </w:r>
      <w:r w:rsidR="00012AE0" w:rsidRPr="0099161A">
        <w:rPr>
          <w:rFonts w:cstheme="minorHAnsi"/>
          <w:sz w:val="24"/>
          <w:szCs w:val="24"/>
        </w:rPr>
        <w:t>outsourc</w:t>
      </w:r>
      <w:r w:rsidR="00481CDB" w:rsidRPr="0099161A">
        <w:rPr>
          <w:rFonts w:cstheme="minorHAnsi"/>
          <w:sz w:val="24"/>
          <w:szCs w:val="24"/>
        </w:rPr>
        <w:t>ing of</w:t>
      </w:r>
      <w:r w:rsidR="00012AE0" w:rsidRPr="0099161A">
        <w:rPr>
          <w:rFonts w:cstheme="minorHAnsi"/>
          <w:sz w:val="24"/>
          <w:szCs w:val="24"/>
        </w:rPr>
        <w:t xml:space="preserve"> welfare provision.</w:t>
      </w:r>
      <w:r w:rsidR="00E2736B" w:rsidRPr="0099161A">
        <w:rPr>
          <w:rFonts w:cstheme="minorHAnsi"/>
          <w:sz w:val="24"/>
          <w:szCs w:val="24"/>
        </w:rPr>
        <w:t xml:space="preserve"> </w:t>
      </w:r>
      <w:r w:rsidR="008C1C06" w:rsidRPr="0099161A">
        <w:rPr>
          <w:rFonts w:cstheme="minorHAnsi"/>
          <w:sz w:val="24"/>
          <w:szCs w:val="24"/>
        </w:rPr>
        <w:t xml:space="preserve"> </w:t>
      </w:r>
      <w:r w:rsidR="00A85B15" w:rsidRPr="0099161A">
        <w:rPr>
          <w:rFonts w:cstheme="minorHAnsi"/>
          <w:sz w:val="24"/>
          <w:szCs w:val="24"/>
        </w:rPr>
        <w:t xml:space="preserve"> </w:t>
      </w:r>
    </w:p>
    <w:p w14:paraId="1818FF2B" w14:textId="77777777" w:rsidR="00E2340E" w:rsidRPr="0099161A" w:rsidRDefault="002E6F59" w:rsidP="00750192">
      <w:pPr>
        <w:rPr>
          <w:rFonts w:cstheme="minorHAnsi"/>
          <w:sz w:val="24"/>
          <w:szCs w:val="24"/>
        </w:rPr>
      </w:pPr>
      <w:r w:rsidRPr="0099161A">
        <w:rPr>
          <w:rFonts w:cstheme="minorHAnsi"/>
          <w:b/>
          <w:bCs/>
          <w:i/>
          <w:iCs/>
          <w:sz w:val="24"/>
          <w:szCs w:val="24"/>
        </w:rPr>
        <w:t>P</w:t>
      </w:r>
      <w:r w:rsidR="004C007F" w:rsidRPr="0099161A">
        <w:rPr>
          <w:rFonts w:cstheme="minorHAnsi"/>
          <w:b/>
          <w:bCs/>
          <w:i/>
          <w:iCs/>
          <w:sz w:val="24"/>
          <w:szCs w:val="24"/>
        </w:rPr>
        <w:t>lace</w:t>
      </w:r>
      <w:r w:rsidRPr="0099161A">
        <w:rPr>
          <w:rFonts w:cstheme="minorHAnsi"/>
          <w:b/>
          <w:bCs/>
          <w:i/>
          <w:iCs/>
          <w:sz w:val="24"/>
          <w:szCs w:val="24"/>
        </w:rPr>
        <w:t>-based variegation</w:t>
      </w:r>
      <w:r w:rsidRPr="0099161A">
        <w:rPr>
          <w:rFonts w:cstheme="minorHAnsi"/>
          <w:sz w:val="24"/>
          <w:szCs w:val="24"/>
        </w:rPr>
        <w:t xml:space="preserve">: </w:t>
      </w:r>
      <w:r w:rsidR="006823AF" w:rsidRPr="0099161A">
        <w:rPr>
          <w:rFonts w:cstheme="minorHAnsi"/>
          <w:sz w:val="24"/>
          <w:szCs w:val="24"/>
        </w:rPr>
        <w:t>T</w:t>
      </w:r>
      <w:r w:rsidR="00A952A5" w:rsidRPr="0099161A">
        <w:rPr>
          <w:rFonts w:cstheme="minorHAnsi"/>
          <w:sz w:val="24"/>
          <w:szCs w:val="24"/>
        </w:rPr>
        <w:t xml:space="preserve">he changing forms of value creation are not uniform across place: </w:t>
      </w:r>
      <w:proofErr w:type="gramStart"/>
      <w:r w:rsidR="006823AF" w:rsidRPr="0099161A">
        <w:rPr>
          <w:rFonts w:cstheme="minorHAnsi"/>
          <w:sz w:val="24"/>
          <w:szCs w:val="24"/>
        </w:rPr>
        <w:t>e.g.</w:t>
      </w:r>
      <w:proofErr w:type="gramEnd"/>
      <w:r w:rsidR="006823AF" w:rsidRPr="0099161A">
        <w:rPr>
          <w:rFonts w:cstheme="minorHAnsi"/>
          <w:sz w:val="24"/>
          <w:szCs w:val="24"/>
        </w:rPr>
        <w:t xml:space="preserve"> there are well-known</w:t>
      </w:r>
      <w:r w:rsidR="00F00534" w:rsidRPr="0099161A">
        <w:rPr>
          <w:rFonts w:cstheme="minorHAnsi"/>
          <w:sz w:val="24"/>
          <w:szCs w:val="24"/>
        </w:rPr>
        <w:t xml:space="preserve"> spatial</w:t>
      </w:r>
      <w:r w:rsidR="006823AF" w:rsidRPr="0099161A">
        <w:rPr>
          <w:rFonts w:cstheme="minorHAnsi"/>
          <w:sz w:val="24"/>
          <w:szCs w:val="24"/>
        </w:rPr>
        <w:t xml:space="preserve"> </w:t>
      </w:r>
      <w:r w:rsidR="00642A1C" w:rsidRPr="0099161A">
        <w:rPr>
          <w:rFonts w:cstheme="minorHAnsi"/>
          <w:sz w:val="24"/>
          <w:szCs w:val="24"/>
        </w:rPr>
        <w:t xml:space="preserve">variegation in welfare </w:t>
      </w:r>
      <w:r w:rsidR="00F00534" w:rsidRPr="0099161A">
        <w:rPr>
          <w:rFonts w:cstheme="minorHAnsi"/>
          <w:sz w:val="24"/>
          <w:szCs w:val="24"/>
        </w:rPr>
        <w:t>provision</w:t>
      </w:r>
      <w:r w:rsidR="00642A1C" w:rsidRPr="0099161A">
        <w:rPr>
          <w:rFonts w:cstheme="minorHAnsi"/>
          <w:sz w:val="24"/>
          <w:szCs w:val="24"/>
        </w:rPr>
        <w:t xml:space="preserve"> </w:t>
      </w:r>
      <w:r w:rsidR="00016127" w:rsidRPr="0099161A">
        <w:rPr>
          <w:rFonts w:cstheme="minorHAnsi"/>
          <w:sz w:val="24"/>
          <w:szCs w:val="24"/>
        </w:rPr>
        <w:t xml:space="preserve">(‘welfare regimes’) </w:t>
      </w:r>
      <w:r w:rsidR="00642A1C" w:rsidRPr="0099161A">
        <w:rPr>
          <w:rFonts w:cstheme="minorHAnsi"/>
          <w:sz w:val="24"/>
          <w:szCs w:val="24"/>
        </w:rPr>
        <w:t>and degree of labour market flexibility</w:t>
      </w:r>
      <w:r w:rsidR="00F00534" w:rsidRPr="0099161A">
        <w:rPr>
          <w:rFonts w:cstheme="minorHAnsi"/>
          <w:sz w:val="24"/>
          <w:szCs w:val="24"/>
        </w:rPr>
        <w:t>.</w:t>
      </w:r>
      <w:r w:rsidR="00D2477A" w:rsidRPr="0099161A">
        <w:rPr>
          <w:rFonts w:cstheme="minorHAnsi"/>
          <w:sz w:val="24"/>
          <w:szCs w:val="24"/>
        </w:rPr>
        <w:t xml:space="preserve"> </w:t>
      </w:r>
    </w:p>
    <w:p w14:paraId="6C350936" w14:textId="68297C7C" w:rsidR="00C025C9" w:rsidRPr="0099161A" w:rsidRDefault="00607685">
      <w:pPr>
        <w:rPr>
          <w:rFonts w:cstheme="minorHAnsi"/>
          <w:sz w:val="24"/>
          <w:szCs w:val="24"/>
        </w:rPr>
      </w:pPr>
      <w:r w:rsidRPr="0099161A">
        <w:rPr>
          <w:rFonts w:cstheme="minorHAnsi"/>
          <w:b/>
          <w:bCs/>
          <w:sz w:val="24"/>
          <w:szCs w:val="24"/>
        </w:rPr>
        <w:t>Co-s</w:t>
      </w:r>
      <w:r w:rsidR="00916EC6" w:rsidRPr="0099161A">
        <w:rPr>
          <w:rFonts w:cstheme="minorHAnsi"/>
          <w:b/>
          <w:bCs/>
          <w:sz w:val="24"/>
          <w:szCs w:val="24"/>
        </w:rPr>
        <w:t>haping regional economic recovery</w:t>
      </w:r>
      <w:r w:rsidR="0081355D" w:rsidRPr="0099161A">
        <w:rPr>
          <w:rFonts w:cstheme="minorHAnsi"/>
          <w:b/>
          <w:bCs/>
          <w:sz w:val="24"/>
          <w:szCs w:val="24"/>
        </w:rPr>
        <w:t xml:space="preserve">. </w:t>
      </w:r>
      <w:r w:rsidR="00536794" w:rsidRPr="0099161A">
        <w:rPr>
          <w:rFonts w:cstheme="minorHAnsi"/>
          <w:sz w:val="24"/>
          <w:szCs w:val="24"/>
        </w:rPr>
        <w:t>I</w:t>
      </w:r>
      <w:r w:rsidR="009D46D9" w:rsidRPr="0099161A">
        <w:rPr>
          <w:rFonts w:cstheme="minorHAnsi"/>
          <w:sz w:val="24"/>
          <w:szCs w:val="24"/>
        </w:rPr>
        <w:t xml:space="preserve">n crisis </w:t>
      </w:r>
      <w:r w:rsidR="006B101C" w:rsidRPr="0099161A">
        <w:rPr>
          <w:rFonts w:cstheme="minorHAnsi"/>
          <w:sz w:val="24"/>
          <w:szCs w:val="24"/>
        </w:rPr>
        <w:t>periods</w:t>
      </w:r>
      <w:r w:rsidR="009D46D9" w:rsidRPr="0099161A">
        <w:rPr>
          <w:rFonts w:cstheme="minorHAnsi"/>
          <w:sz w:val="24"/>
          <w:szCs w:val="24"/>
        </w:rPr>
        <w:t xml:space="preserve">, then the system-of-system approach is of </w:t>
      </w:r>
      <w:r w:rsidR="008B5971" w:rsidRPr="0099161A">
        <w:rPr>
          <w:rFonts w:cstheme="minorHAnsi"/>
          <w:sz w:val="24"/>
          <w:szCs w:val="24"/>
        </w:rPr>
        <w:t>especial importance</w:t>
      </w:r>
      <w:r w:rsidR="00030D0E" w:rsidRPr="0099161A">
        <w:rPr>
          <w:rFonts w:cstheme="minorHAnsi"/>
          <w:sz w:val="24"/>
          <w:szCs w:val="24"/>
        </w:rPr>
        <w:t>, as the stability required for the standard approach is disturbed</w:t>
      </w:r>
      <w:r w:rsidR="004F3C60" w:rsidRPr="0099161A">
        <w:rPr>
          <w:rFonts w:cstheme="minorHAnsi"/>
          <w:sz w:val="24"/>
          <w:szCs w:val="24"/>
        </w:rPr>
        <w:t>, and we must reimagine future provisioning systems</w:t>
      </w:r>
      <w:r w:rsidR="00854D9A" w:rsidRPr="0099161A">
        <w:rPr>
          <w:rFonts w:cstheme="minorHAnsi"/>
          <w:sz w:val="24"/>
          <w:szCs w:val="24"/>
        </w:rPr>
        <w:t>.</w:t>
      </w:r>
      <w:r w:rsidR="00807B5A" w:rsidRPr="0099161A">
        <w:rPr>
          <w:rFonts w:cstheme="minorHAnsi"/>
          <w:sz w:val="24"/>
          <w:szCs w:val="24"/>
        </w:rPr>
        <w:t xml:space="preserve"> </w:t>
      </w:r>
      <w:r w:rsidR="00854D9A" w:rsidRPr="0099161A">
        <w:rPr>
          <w:rFonts w:cstheme="minorHAnsi"/>
          <w:sz w:val="24"/>
          <w:szCs w:val="24"/>
        </w:rPr>
        <w:t xml:space="preserve">It is no coincidence that West Yorkshire economists led the largest ever EU funded project across the economics and social science, in response to the last major economic crisis, that of 2007-8, drawing numerous disciplinary perspectives and stakeholder together (see </w:t>
      </w:r>
      <w:hyperlink r:id="rId11" w:history="1">
        <w:r w:rsidR="00854D9A" w:rsidRPr="0099161A">
          <w:rPr>
            <w:rStyle w:val="Hyperlink"/>
            <w:rFonts w:cstheme="minorHAnsi"/>
            <w:sz w:val="24"/>
            <w:szCs w:val="24"/>
          </w:rPr>
          <w:t>www.fessud.eu</w:t>
        </w:r>
      </w:hyperlink>
      <w:r w:rsidR="00854D9A" w:rsidRPr="0099161A">
        <w:rPr>
          <w:rFonts w:cstheme="minorHAnsi"/>
          <w:sz w:val="24"/>
          <w:szCs w:val="24"/>
        </w:rPr>
        <w:t xml:space="preserve">). </w:t>
      </w:r>
      <w:r w:rsidR="00D43F58" w:rsidRPr="0099161A">
        <w:rPr>
          <w:rFonts w:cstheme="minorHAnsi"/>
          <w:sz w:val="24"/>
          <w:szCs w:val="24"/>
        </w:rPr>
        <w:t xml:space="preserve">But system-of system economics is also important in more normal times (and </w:t>
      </w:r>
      <w:r w:rsidR="00D43F58" w:rsidRPr="0099161A">
        <w:rPr>
          <w:rFonts w:cstheme="minorHAnsi"/>
          <w:i/>
          <w:iCs/>
          <w:sz w:val="24"/>
          <w:szCs w:val="24"/>
        </w:rPr>
        <w:t>vice versa</w:t>
      </w:r>
      <w:r w:rsidR="00D43F58" w:rsidRPr="0099161A">
        <w:rPr>
          <w:rFonts w:cstheme="minorHAnsi"/>
          <w:sz w:val="24"/>
          <w:szCs w:val="24"/>
        </w:rPr>
        <w:t xml:space="preserve">, there is a role for standard economics in crises too). What is remarkable is that West Yorkshire academics and their networks are world leading in </w:t>
      </w:r>
      <w:r w:rsidR="00D43F58" w:rsidRPr="0099161A">
        <w:rPr>
          <w:rFonts w:cstheme="minorHAnsi"/>
          <w:i/>
          <w:iCs/>
          <w:sz w:val="24"/>
          <w:szCs w:val="24"/>
        </w:rPr>
        <w:t xml:space="preserve">both </w:t>
      </w:r>
      <w:r w:rsidR="007C6290" w:rsidRPr="0099161A">
        <w:rPr>
          <w:rFonts w:cstheme="minorHAnsi"/>
          <w:sz w:val="24"/>
          <w:szCs w:val="24"/>
        </w:rPr>
        <w:t>standard and system-of-systems approaches</w:t>
      </w:r>
      <w:r w:rsidR="00D43F58" w:rsidRPr="0099161A">
        <w:rPr>
          <w:rFonts w:cstheme="minorHAnsi"/>
          <w:sz w:val="24"/>
          <w:szCs w:val="24"/>
        </w:rPr>
        <w:t xml:space="preserve">. </w:t>
      </w:r>
      <w:r w:rsidR="00E60ABF" w:rsidRPr="0099161A">
        <w:rPr>
          <w:rFonts w:cstheme="minorHAnsi"/>
          <w:sz w:val="24"/>
          <w:szCs w:val="24"/>
        </w:rPr>
        <w:t>W</w:t>
      </w:r>
      <w:r w:rsidR="00854D9A" w:rsidRPr="0099161A">
        <w:rPr>
          <w:rFonts w:cstheme="minorHAnsi"/>
          <w:sz w:val="24"/>
          <w:szCs w:val="24"/>
        </w:rPr>
        <w:t xml:space="preserve">e stand ready to support regional economic recovery via PERN. </w:t>
      </w:r>
      <w:r w:rsidR="004B4800" w:rsidRPr="0099161A">
        <w:rPr>
          <w:rFonts w:cstheme="minorHAnsi"/>
          <w:sz w:val="24"/>
          <w:szCs w:val="24"/>
        </w:rPr>
        <w:t>Ch</w:t>
      </w:r>
      <w:r w:rsidR="00421967" w:rsidRPr="0099161A">
        <w:rPr>
          <w:rFonts w:cstheme="minorHAnsi"/>
          <w:sz w:val="24"/>
          <w:szCs w:val="24"/>
        </w:rPr>
        <w:t xml:space="preserve">.3 and </w:t>
      </w:r>
      <w:r w:rsidR="004B4800" w:rsidRPr="0099161A">
        <w:rPr>
          <w:rFonts w:cstheme="minorHAnsi"/>
          <w:sz w:val="24"/>
          <w:szCs w:val="24"/>
        </w:rPr>
        <w:t>C</w:t>
      </w:r>
      <w:r w:rsidR="00421967" w:rsidRPr="0099161A">
        <w:rPr>
          <w:rFonts w:cstheme="minorHAnsi"/>
          <w:sz w:val="24"/>
          <w:szCs w:val="24"/>
        </w:rPr>
        <w:t xml:space="preserve">h.4 will illustrate </w:t>
      </w:r>
      <w:r w:rsidR="00781D59" w:rsidRPr="0099161A">
        <w:rPr>
          <w:rFonts w:cstheme="minorHAnsi"/>
          <w:sz w:val="24"/>
          <w:szCs w:val="24"/>
        </w:rPr>
        <w:t xml:space="preserve">different </w:t>
      </w:r>
      <w:r w:rsidR="004B4800" w:rsidRPr="0099161A">
        <w:rPr>
          <w:rFonts w:cstheme="minorHAnsi"/>
          <w:sz w:val="24"/>
          <w:szCs w:val="24"/>
        </w:rPr>
        <w:t>applications</w:t>
      </w:r>
      <w:r w:rsidR="00781D59" w:rsidRPr="0099161A">
        <w:rPr>
          <w:rFonts w:cstheme="minorHAnsi"/>
          <w:sz w:val="24"/>
          <w:szCs w:val="24"/>
        </w:rPr>
        <w:t xml:space="preserve"> of the system-of systems approach</w:t>
      </w:r>
      <w:r w:rsidR="004B4800" w:rsidRPr="0099161A">
        <w:rPr>
          <w:rFonts w:cstheme="minorHAnsi"/>
          <w:sz w:val="24"/>
          <w:szCs w:val="24"/>
        </w:rPr>
        <w:t xml:space="preserve"> </w:t>
      </w:r>
      <w:r w:rsidR="00351AAC" w:rsidRPr="0099161A">
        <w:rPr>
          <w:rFonts w:cstheme="minorHAnsi"/>
          <w:sz w:val="24"/>
          <w:szCs w:val="24"/>
        </w:rPr>
        <w:t>crucial to place-based economic recovery.</w:t>
      </w:r>
      <w:r w:rsidR="00781D59" w:rsidRPr="0099161A">
        <w:rPr>
          <w:rFonts w:cstheme="minorHAnsi"/>
          <w:sz w:val="24"/>
          <w:szCs w:val="24"/>
        </w:rPr>
        <w:t xml:space="preserve"> </w:t>
      </w:r>
    </w:p>
    <w:p w14:paraId="20F91962" w14:textId="77777777" w:rsidR="0050312E" w:rsidRDefault="0050312E" w:rsidP="008406D1">
      <w:pPr>
        <w:rPr>
          <w:rFonts w:cstheme="minorHAnsi"/>
          <w:b/>
          <w:bCs/>
          <w:sz w:val="28"/>
          <w:szCs w:val="28"/>
        </w:rPr>
      </w:pPr>
    </w:p>
    <w:p w14:paraId="58F45E74" w14:textId="74C7684C" w:rsidR="00001559" w:rsidRPr="009E3836" w:rsidRDefault="00A9243F" w:rsidP="008406D1">
      <w:pPr>
        <w:rPr>
          <w:rFonts w:cstheme="minorHAnsi"/>
          <w:b/>
          <w:bCs/>
        </w:rPr>
      </w:pPr>
      <w:r>
        <w:rPr>
          <w:rFonts w:cstheme="minorHAnsi"/>
          <w:b/>
          <w:bCs/>
          <w:sz w:val="28"/>
          <w:szCs w:val="28"/>
        </w:rPr>
        <w:t xml:space="preserve">4. </w:t>
      </w:r>
      <w:r w:rsidRPr="008D0D79">
        <w:rPr>
          <w:rFonts w:cstheme="minorHAnsi"/>
          <w:b/>
          <w:bCs/>
          <w:sz w:val="28"/>
          <w:szCs w:val="28"/>
        </w:rPr>
        <w:t>HOUSING RETROFITTING SCHEMES</w:t>
      </w:r>
      <w:r w:rsidRPr="00644832">
        <w:rPr>
          <w:rFonts w:cstheme="minorHAnsi"/>
        </w:rPr>
        <w:t xml:space="preserve"> </w:t>
      </w:r>
      <w:r w:rsidRPr="009E3836">
        <w:rPr>
          <w:rFonts w:cstheme="minorHAnsi"/>
          <w:b/>
          <w:bCs/>
        </w:rPr>
        <w:t xml:space="preserve"> </w:t>
      </w:r>
    </w:p>
    <w:p w14:paraId="3647FD22" w14:textId="77FF5191" w:rsidR="00D96E16" w:rsidRPr="0099161A" w:rsidRDefault="00D3328C" w:rsidP="008406D1">
      <w:pPr>
        <w:rPr>
          <w:rFonts w:cstheme="minorHAnsi"/>
          <w:sz w:val="24"/>
          <w:szCs w:val="24"/>
        </w:rPr>
      </w:pPr>
      <w:r w:rsidRPr="0099161A">
        <w:rPr>
          <w:rFonts w:cstheme="minorHAnsi"/>
          <w:sz w:val="24"/>
          <w:szCs w:val="24"/>
        </w:rPr>
        <w:t>Ho</w:t>
      </w:r>
      <w:r w:rsidR="00001559" w:rsidRPr="0099161A">
        <w:rPr>
          <w:rFonts w:cstheme="minorHAnsi"/>
          <w:sz w:val="24"/>
          <w:szCs w:val="24"/>
        </w:rPr>
        <w:t>using retrofitting schemes</w:t>
      </w:r>
      <w:r w:rsidRPr="0099161A">
        <w:rPr>
          <w:rFonts w:cstheme="minorHAnsi"/>
          <w:sz w:val="24"/>
          <w:szCs w:val="24"/>
        </w:rPr>
        <w:t xml:space="preserve"> must contend with the </w:t>
      </w:r>
      <w:r w:rsidR="00001559" w:rsidRPr="0099161A">
        <w:rPr>
          <w:rFonts w:cstheme="minorHAnsi"/>
          <w:sz w:val="24"/>
          <w:szCs w:val="24"/>
        </w:rPr>
        <w:t>potential gap</w:t>
      </w:r>
      <w:r w:rsidRPr="0099161A">
        <w:rPr>
          <w:rFonts w:cstheme="minorHAnsi"/>
          <w:sz w:val="24"/>
          <w:szCs w:val="24"/>
        </w:rPr>
        <w:t>s</w:t>
      </w:r>
      <w:r w:rsidR="00001559" w:rsidRPr="0099161A">
        <w:rPr>
          <w:rFonts w:cstheme="minorHAnsi"/>
          <w:sz w:val="24"/>
          <w:szCs w:val="24"/>
        </w:rPr>
        <w:t xml:space="preserve"> between </w:t>
      </w:r>
      <w:r w:rsidR="007C24F9" w:rsidRPr="0099161A">
        <w:rPr>
          <w:rFonts w:cstheme="minorHAnsi"/>
          <w:sz w:val="24"/>
          <w:szCs w:val="24"/>
        </w:rPr>
        <w:t xml:space="preserve">stated commitment and </w:t>
      </w:r>
      <w:r w:rsidR="00001559" w:rsidRPr="0099161A">
        <w:rPr>
          <w:rFonts w:cstheme="minorHAnsi"/>
          <w:sz w:val="24"/>
          <w:szCs w:val="24"/>
        </w:rPr>
        <w:t>funding</w:t>
      </w:r>
      <w:r w:rsidR="007C24F9" w:rsidRPr="0099161A">
        <w:rPr>
          <w:rFonts w:cstheme="minorHAnsi"/>
          <w:sz w:val="24"/>
          <w:szCs w:val="24"/>
        </w:rPr>
        <w:t xml:space="preserve"> scale</w:t>
      </w:r>
      <w:r w:rsidRPr="0099161A">
        <w:rPr>
          <w:rFonts w:cstheme="minorHAnsi"/>
          <w:sz w:val="24"/>
          <w:szCs w:val="24"/>
        </w:rPr>
        <w:t xml:space="preserve">, and between </w:t>
      </w:r>
      <w:proofErr w:type="gramStart"/>
      <w:r w:rsidRPr="0099161A">
        <w:rPr>
          <w:rFonts w:cstheme="minorHAnsi"/>
          <w:sz w:val="24"/>
          <w:szCs w:val="24"/>
        </w:rPr>
        <w:t>centrally-initiated</w:t>
      </w:r>
      <w:proofErr w:type="gramEnd"/>
      <w:r w:rsidRPr="0099161A">
        <w:rPr>
          <w:rFonts w:cstheme="minorHAnsi"/>
          <w:sz w:val="24"/>
          <w:szCs w:val="24"/>
        </w:rPr>
        <w:t xml:space="preserve"> </w:t>
      </w:r>
      <w:r w:rsidR="007C24F9" w:rsidRPr="0099161A">
        <w:rPr>
          <w:rFonts w:cstheme="minorHAnsi"/>
          <w:sz w:val="24"/>
          <w:szCs w:val="24"/>
        </w:rPr>
        <w:t>funding</w:t>
      </w:r>
      <w:r w:rsidR="00001559" w:rsidRPr="0099161A">
        <w:rPr>
          <w:rFonts w:cstheme="minorHAnsi"/>
          <w:sz w:val="24"/>
          <w:szCs w:val="24"/>
        </w:rPr>
        <w:t xml:space="preserve"> provision</w:t>
      </w:r>
      <w:r w:rsidRPr="0099161A">
        <w:rPr>
          <w:rFonts w:cstheme="minorHAnsi"/>
          <w:sz w:val="24"/>
          <w:szCs w:val="24"/>
        </w:rPr>
        <w:t xml:space="preserve"> and </w:t>
      </w:r>
      <w:r w:rsidR="00001559" w:rsidRPr="0099161A">
        <w:rPr>
          <w:rFonts w:cstheme="minorHAnsi"/>
          <w:sz w:val="24"/>
          <w:szCs w:val="24"/>
        </w:rPr>
        <w:t xml:space="preserve">uptake at a local level. </w:t>
      </w:r>
      <w:r w:rsidR="007C24F9" w:rsidRPr="0099161A">
        <w:rPr>
          <w:rFonts w:cstheme="minorHAnsi"/>
          <w:sz w:val="24"/>
          <w:szCs w:val="24"/>
        </w:rPr>
        <w:t>Still</w:t>
      </w:r>
      <w:r w:rsidR="00001559" w:rsidRPr="0099161A">
        <w:rPr>
          <w:rFonts w:cstheme="minorHAnsi"/>
          <w:sz w:val="24"/>
          <w:szCs w:val="24"/>
        </w:rPr>
        <w:t xml:space="preserve">, as funding becomes available, a key question becomes how to engage the public to ensure best possible outcomes? Here, appropriately focused strategies can lead to local employment solutions, immediate </w:t>
      </w:r>
      <w:r w:rsidR="00A96C97" w:rsidRPr="0099161A">
        <w:rPr>
          <w:rFonts w:cstheme="minorHAnsi"/>
          <w:sz w:val="24"/>
          <w:szCs w:val="24"/>
        </w:rPr>
        <w:t>quasi-</w:t>
      </w:r>
      <w:r w:rsidR="00001559" w:rsidRPr="0099161A">
        <w:rPr>
          <w:rFonts w:cstheme="minorHAnsi"/>
          <w:sz w:val="24"/>
          <w:szCs w:val="24"/>
        </w:rPr>
        <w:t>automatic stabiliser effects for incomes</w:t>
      </w:r>
      <w:r w:rsidR="00A96C97" w:rsidRPr="0099161A">
        <w:rPr>
          <w:rFonts w:cstheme="minorHAnsi"/>
          <w:sz w:val="24"/>
          <w:szCs w:val="24"/>
        </w:rPr>
        <w:t xml:space="preserve"> (</w:t>
      </w:r>
      <w:r w:rsidRPr="0099161A">
        <w:rPr>
          <w:rFonts w:cstheme="minorHAnsi"/>
          <w:sz w:val="24"/>
          <w:szCs w:val="24"/>
        </w:rPr>
        <w:t xml:space="preserve">especially since previously key sectors, notably retail and hospitality, may not be able to re-absorb labour), </w:t>
      </w:r>
      <w:r w:rsidR="00A96C97" w:rsidRPr="0099161A">
        <w:rPr>
          <w:rFonts w:cstheme="minorHAnsi"/>
          <w:sz w:val="24"/>
          <w:szCs w:val="24"/>
        </w:rPr>
        <w:t>and</w:t>
      </w:r>
      <w:r w:rsidR="00001559" w:rsidRPr="0099161A">
        <w:rPr>
          <w:rFonts w:cstheme="minorHAnsi"/>
          <w:sz w:val="24"/>
          <w:szCs w:val="24"/>
        </w:rPr>
        <w:t xml:space="preserve"> </w:t>
      </w:r>
      <w:r w:rsidR="00A96C97" w:rsidRPr="0099161A">
        <w:rPr>
          <w:rFonts w:cstheme="minorHAnsi"/>
          <w:sz w:val="24"/>
          <w:szCs w:val="24"/>
        </w:rPr>
        <w:t xml:space="preserve">the acquisition of </w:t>
      </w:r>
      <w:r w:rsidR="00001559" w:rsidRPr="0099161A">
        <w:rPr>
          <w:rFonts w:cstheme="minorHAnsi"/>
          <w:sz w:val="24"/>
          <w:szCs w:val="24"/>
        </w:rPr>
        <w:t>transition skills</w:t>
      </w:r>
      <w:r w:rsidR="00A96C97" w:rsidRPr="0099161A">
        <w:rPr>
          <w:rFonts w:cstheme="minorHAnsi"/>
          <w:sz w:val="24"/>
          <w:szCs w:val="24"/>
        </w:rPr>
        <w:t xml:space="preserve">, which </w:t>
      </w:r>
      <w:r w:rsidR="00001559" w:rsidRPr="0099161A">
        <w:rPr>
          <w:rFonts w:cstheme="minorHAnsi"/>
          <w:sz w:val="24"/>
          <w:szCs w:val="24"/>
        </w:rPr>
        <w:t>reduce</w:t>
      </w:r>
      <w:r w:rsidR="00A96C97" w:rsidRPr="0099161A">
        <w:rPr>
          <w:rFonts w:cstheme="minorHAnsi"/>
          <w:sz w:val="24"/>
          <w:szCs w:val="24"/>
        </w:rPr>
        <w:t>s</w:t>
      </w:r>
      <w:r w:rsidR="00001559" w:rsidRPr="0099161A">
        <w:rPr>
          <w:rFonts w:cstheme="minorHAnsi"/>
          <w:sz w:val="24"/>
          <w:szCs w:val="24"/>
        </w:rPr>
        <w:t xml:space="preserve"> </w:t>
      </w:r>
      <w:r w:rsidR="00644832" w:rsidRPr="0099161A">
        <w:rPr>
          <w:rFonts w:cstheme="minorHAnsi"/>
          <w:sz w:val="24"/>
          <w:szCs w:val="24"/>
        </w:rPr>
        <w:t>‘</w:t>
      </w:r>
      <w:r w:rsidR="00001559" w:rsidRPr="0099161A">
        <w:rPr>
          <w:rFonts w:cstheme="minorHAnsi"/>
          <w:sz w:val="24"/>
          <w:szCs w:val="24"/>
        </w:rPr>
        <w:t>scarring</w:t>
      </w:r>
      <w:r w:rsidR="00644832" w:rsidRPr="0099161A">
        <w:rPr>
          <w:rFonts w:cstheme="minorHAnsi"/>
          <w:sz w:val="24"/>
          <w:szCs w:val="24"/>
        </w:rPr>
        <w:t>’</w:t>
      </w:r>
      <w:r w:rsidR="00001559" w:rsidRPr="0099161A">
        <w:rPr>
          <w:rFonts w:cstheme="minorHAnsi"/>
          <w:sz w:val="24"/>
          <w:szCs w:val="24"/>
        </w:rPr>
        <w:t xml:space="preserve"> and </w:t>
      </w:r>
      <w:r w:rsidR="00644832" w:rsidRPr="0099161A">
        <w:rPr>
          <w:rFonts w:cstheme="minorHAnsi"/>
          <w:sz w:val="24"/>
          <w:szCs w:val="24"/>
        </w:rPr>
        <w:t>‘</w:t>
      </w:r>
      <w:r w:rsidR="00001559" w:rsidRPr="0099161A">
        <w:rPr>
          <w:rFonts w:cstheme="minorHAnsi"/>
          <w:sz w:val="24"/>
          <w:szCs w:val="24"/>
        </w:rPr>
        <w:t>hysteresis</w:t>
      </w:r>
      <w:r w:rsidR="00644832" w:rsidRPr="0099161A">
        <w:rPr>
          <w:rFonts w:cstheme="minorHAnsi"/>
          <w:sz w:val="24"/>
          <w:szCs w:val="24"/>
        </w:rPr>
        <w:t>’</w:t>
      </w:r>
      <w:r w:rsidR="00001559" w:rsidRPr="0099161A">
        <w:rPr>
          <w:rFonts w:cstheme="minorHAnsi"/>
          <w:sz w:val="24"/>
          <w:szCs w:val="24"/>
        </w:rPr>
        <w:t xml:space="preserve"> problems</w:t>
      </w:r>
      <w:r w:rsidR="00A96C97" w:rsidRPr="0099161A">
        <w:rPr>
          <w:rFonts w:cstheme="minorHAnsi"/>
          <w:sz w:val="24"/>
          <w:szCs w:val="24"/>
        </w:rPr>
        <w:t xml:space="preserve">. Moreover, locally </w:t>
      </w:r>
      <w:r w:rsidR="00644832" w:rsidRPr="0099161A">
        <w:rPr>
          <w:rFonts w:cstheme="minorHAnsi"/>
          <w:sz w:val="24"/>
          <w:szCs w:val="24"/>
        </w:rPr>
        <w:t>administered and organized</w:t>
      </w:r>
      <w:r w:rsidR="00A96C97" w:rsidRPr="0099161A">
        <w:rPr>
          <w:rFonts w:cstheme="minorHAnsi"/>
          <w:sz w:val="24"/>
          <w:szCs w:val="24"/>
        </w:rPr>
        <w:t xml:space="preserve"> schemes can create a sense of ‘ownership’, </w:t>
      </w:r>
      <w:r w:rsidR="00001559" w:rsidRPr="0099161A">
        <w:rPr>
          <w:rFonts w:cstheme="minorHAnsi"/>
          <w:sz w:val="24"/>
          <w:szCs w:val="24"/>
        </w:rPr>
        <w:t>build</w:t>
      </w:r>
      <w:r w:rsidRPr="0099161A">
        <w:rPr>
          <w:rFonts w:cstheme="minorHAnsi"/>
          <w:sz w:val="24"/>
          <w:szCs w:val="24"/>
        </w:rPr>
        <w:t xml:space="preserve">ing </w:t>
      </w:r>
      <w:r w:rsidR="00A96C97" w:rsidRPr="0099161A">
        <w:rPr>
          <w:rFonts w:cstheme="minorHAnsi"/>
          <w:sz w:val="24"/>
          <w:szCs w:val="24"/>
        </w:rPr>
        <w:t xml:space="preserve">on the </w:t>
      </w:r>
      <w:r w:rsidR="00001559" w:rsidRPr="0099161A">
        <w:rPr>
          <w:rFonts w:cstheme="minorHAnsi"/>
          <w:sz w:val="24"/>
          <w:szCs w:val="24"/>
        </w:rPr>
        <w:t>‘we psychologies’</w:t>
      </w:r>
      <w:r w:rsidR="00A96C97" w:rsidRPr="0099161A">
        <w:rPr>
          <w:rFonts w:cstheme="minorHAnsi"/>
          <w:sz w:val="24"/>
          <w:szCs w:val="24"/>
        </w:rPr>
        <w:t xml:space="preserve"> revealed </w:t>
      </w:r>
      <w:r w:rsidRPr="0099161A">
        <w:rPr>
          <w:rFonts w:cstheme="minorHAnsi"/>
          <w:sz w:val="24"/>
          <w:szCs w:val="24"/>
        </w:rPr>
        <w:t xml:space="preserve">by </w:t>
      </w:r>
      <w:r w:rsidR="00A96C97" w:rsidRPr="0099161A">
        <w:rPr>
          <w:rFonts w:cstheme="minorHAnsi"/>
          <w:sz w:val="24"/>
          <w:szCs w:val="24"/>
        </w:rPr>
        <w:t>the pandemic</w:t>
      </w:r>
      <w:r w:rsidRPr="0099161A">
        <w:rPr>
          <w:rFonts w:cstheme="minorHAnsi"/>
          <w:sz w:val="24"/>
          <w:szCs w:val="24"/>
        </w:rPr>
        <w:t xml:space="preserve">. If policy </w:t>
      </w:r>
      <w:r w:rsidR="00A96C97" w:rsidRPr="0099161A">
        <w:rPr>
          <w:rFonts w:cstheme="minorHAnsi"/>
          <w:sz w:val="24"/>
          <w:szCs w:val="24"/>
        </w:rPr>
        <w:t>work</w:t>
      </w:r>
      <w:r w:rsidRPr="0099161A">
        <w:rPr>
          <w:rFonts w:cstheme="minorHAnsi"/>
          <w:sz w:val="24"/>
          <w:szCs w:val="24"/>
        </w:rPr>
        <w:t>s</w:t>
      </w:r>
      <w:r w:rsidR="00A96C97" w:rsidRPr="0099161A">
        <w:rPr>
          <w:rFonts w:cstheme="minorHAnsi"/>
          <w:sz w:val="24"/>
          <w:szCs w:val="24"/>
        </w:rPr>
        <w:t xml:space="preserve"> </w:t>
      </w:r>
      <w:r w:rsidRPr="0099161A">
        <w:rPr>
          <w:rFonts w:cstheme="minorHAnsi"/>
          <w:sz w:val="24"/>
          <w:szCs w:val="24"/>
        </w:rPr>
        <w:t xml:space="preserve">toward </w:t>
      </w:r>
      <w:r w:rsidR="00A96C97" w:rsidRPr="0099161A">
        <w:rPr>
          <w:rFonts w:cstheme="minorHAnsi"/>
          <w:sz w:val="24"/>
          <w:szCs w:val="24"/>
        </w:rPr>
        <w:t>the growth of</w:t>
      </w:r>
      <w:r w:rsidRPr="0099161A">
        <w:rPr>
          <w:rFonts w:cstheme="minorHAnsi"/>
          <w:sz w:val="24"/>
          <w:szCs w:val="24"/>
        </w:rPr>
        <w:t xml:space="preserve"> </w:t>
      </w:r>
      <w:r w:rsidR="00001559" w:rsidRPr="0099161A">
        <w:rPr>
          <w:rFonts w:cstheme="minorHAnsi"/>
          <w:sz w:val="24"/>
          <w:szCs w:val="24"/>
        </w:rPr>
        <w:t>community resilience</w:t>
      </w:r>
      <w:r w:rsidRPr="0099161A">
        <w:rPr>
          <w:rFonts w:cstheme="minorHAnsi"/>
          <w:sz w:val="24"/>
          <w:szCs w:val="24"/>
        </w:rPr>
        <w:t xml:space="preserve">, social and economic goals can converge with a </w:t>
      </w:r>
      <w:r w:rsidR="00A96C97" w:rsidRPr="0099161A">
        <w:rPr>
          <w:rFonts w:cstheme="minorHAnsi"/>
          <w:sz w:val="24"/>
          <w:szCs w:val="24"/>
        </w:rPr>
        <w:t xml:space="preserve">‘levelling up’ agenda. </w:t>
      </w:r>
      <w:r w:rsidR="00063E63" w:rsidRPr="0099161A">
        <w:rPr>
          <w:rFonts w:cstheme="minorHAnsi"/>
          <w:sz w:val="24"/>
          <w:szCs w:val="24"/>
        </w:rPr>
        <w:t xml:space="preserve">Such an approach to local economic recovery seems particularly apt prior to the delayed Glasgow COP, </w:t>
      </w:r>
      <w:r w:rsidRPr="0099161A">
        <w:rPr>
          <w:rFonts w:cstheme="minorHAnsi"/>
          <w:sz w:val="24"/>
          <w:szCs w:val="24"/>
        </w:rPr>
        <w:t xml:space="preserve">as it can </w:t>
      </w:r>
      <w:r w:rsidR="00063E63" w:rsidRPr="0099161A">
        <w:rPr>
          <w:rFonts w:cstheme="minorHAnsi"/>
          <w:sz w:val="24"/>
          <w:szCs w:val="24"/>
        </w:rPr>
        <w:t>showcas</w:t>
      </w:r>
      <w:r w:rsidRPr="0099161A">
        <w:rPr>
          <w:rFonts w:cstheme="minorHAnsi"/>
          <w:sz w:val="24"/>
          <w:szCs w:val="24"/>
        </w:rPr>
        <w:t xml:space="preserve">e </w:t>
      </w:r>
      <w:r w:rsidR="00063E63" w:rsidRPr="0099161A">
        <w:rPr>
          <w:rFonts w:cstheme="minorHAnsi"/>
          <w:sz w:val="24"/>
          <w:szCs w:val="24"/>
        </w:rPr>
        <w:t xml:space="preserve">realistic, results-based ‘green job-centred’ and socially responsible policy.       </w:t>
      </w:r>
      <w:r w:rsidR="00A96C97" w:rsidRPr="0099161A">
        <w:rPr>
          <w:rFonts w:cstheme="minorHAnsi"/>
          <w:sz w:val="24"/>
          <w:szCs w:val="24"/>
        </w:rPr>
        <w:t xml:space="preserve"> </w:t>
      </w:r>
      <w:r w:rsidR="00001559" w:rsidRPr="0099161A">
        <w:rPr>
          <w:rFonts w:cstheme="minorHAnsi"/>
          <w:sz w:val="24"/>
          <w:szCs w:val="24"/>
        </w:rPr>
        <w:t xml:space="preserve">      </w:t>
      </w:r>
      <w:r w:rsidR="00D96E16" w:rsidRPr="0099161A">
        <w:rPr>
          <w:rFonts w:cstheme="minorHAnsi"/>
          <w:sz w:val="24"/>
          <w:szCs w:val="24"/>
        </w:rPr>
        <w:t xml:space="preserve">   </w:t>
      </w:r>
    </w:p>
    <w:p w14:paraId="592FFA9E" w14:textId="142E4570" w:rsidR="00882D65" w:rsidRPr="0099161A" w:rsidRDefault="006448A8" w:rsidP="005B0A4D">
      <w:pPr>
        <w:rPr>
          <w:rFonts w:cstheme="minorHAnsi"/>
          <w:sz w:val="24"/>
          <w:szCs w:val="24"/>
        </w:rPr>
      </w:pPr>
      <w:r w:rsidRPr="0099161A">
        <w:rPr>
          <w:rFonts w:cstheme="minorHAnsi"/>
          <w:b/>
          <w:bCs/>
          <w:color w:val="000000"/>
          <w:sz w:val="24"/>
          <w:szCs w:val="24"/>
        </w:rPr>
        <w:lastRenderedPageBreak/>
        <w:t xml:space="preserve">The scope for and scale of </w:t>
      </w:r>
      <w:r w:rsidR="008D0D79" w:rsidRPr="0099161A">
        <w:rPr>
          <w:rFonts w:cstheme="minorHAnsi"/>
          <w:b/>
          <w:bCs/>
          <w:color w:val="000000"/>
          <w:sz w:val="24"/>
          <w:szCs w:val="24"/>
        </w:rPr>
        <w:t xml:space="preserve">regional </w:t>
      </w:r>
      <w:r w:rsidR="00A6709D" w:rsidRPr="0099161A">
        <w:rPr>
          <w:rFonts w:cstheme="minorHAnsi"/>
          <w:b/>
          <w:bCs/>
          <w:color w:val="000000"/>
          <w:sz w:val="24"/>
          <w:szCs w:val="24"/>
        </w:rPr>
        <w:t>retrofitting</w:t>
      </w:r>
      <w:r w:rsidR="0099161A" w:rsidRPr="0099161A">
        <w:rPr>
          <w:rFonts w:cstheme="minorHAnsi"/>
          <w:b/>
          <w:bCs/>
          <w:color w:val="000000"/>
          <w:sz w:val="24"/>
          <w:szCs w:val="24"/>
        </w:rPr>
        <w:t>.</w:t>
      </w:r>
      <w:r w:rsidR="00573F27" w:rsidRPr="0099161A">
        <w:rPr>
          <w:rStyle w:val="FootnoteReference"/>
          <w:rFonts w:cstheme="minorHAnsi"/>
          <w:sz w:val="24"/>
          <w:szCs w:val="24"/>
        </w:rPr>
        <w:footnoteReference w:id="3"/>
      </w:r>
      <w:r w:rsidR="0099161A" w:rsidRPr="0099161A">
        <w:rPr>
          <w:rFonts w:cstheme="minorHAnsi"/>
          <w:b/>
          <w:bCs/>
          <w:color w:val="000000"/>
          <w:sz w:val="24"/>
          <w:szCs w:val="24"/>
        </w:rPr>
        <w:t xml:space="preserve"> </w:t>
      </w:r>
      <w:r w:rsidR="00A6709D" w:rsidRPr="0099161A">
        <w:rPr>
          <w:rFonts w:cstheme="minorHAnsi"/>
          <w:color w:val="000000"/>
          <w:sz w:val="24"/>
          <w:szCs w:val="24"/>
        </w:rPr>
        <w:t xml:space="preserve">Retrofitting to reduce housing’s carbon footprint can be placed in two broad categories: replacement of carbon energy with renewable energy sources and energy efficiency measures. </w:t>
      </w:r>
      <w:r w:rsidR="0087437A" w:rsidRPr="0099161A">
        <w:rPr>
          <w:rFonts w:cstheme="minorHAnsi"/>
          <w:color w:val="000000"/>
          <w:sz w:val="24"/>
          <w:szCs w:val="24"/>
        </w:rPr>
        <w:t>Both are important</w:t>
      </w:r>
      <w:r w:rsidR="00BB230F" w:rsidRPr="0099161A">
        <w:rPr>
          <w:rFonts w:cstheme="minorHAnsi"/>
          <w:color w:val="000000"/>
          <w:sz w:val="24"/>
          <w:szCs w:val="24"/>
        </w:rPr>
        <w:t>,</w:t>
      </w:r>
      <w:r w:rsidR="0087437A" w:rsidRPr="0099161A">
        <w:rPr>
          <w:rFonts w:cstheme="minorHAnsi"/>
          <w:color w:val="000000"/>
          <w:sz w:val="24"/>
          <w:szCs w:val="24"/>
        </w:rPr>
        <w:t xml:space="preserve"> but t</w:t>
      </w:r>
      <w:r w:rsidR="00A6709D" w:rsidRPr="0099161A">
        <w:rPr>
          <w:rFonts w:cstheme="minorHAnsi"/>
          <w:color w:val="000000"/>
          <w:sz w:val="24"/>
          <w:szCs w:val="24"/>
        </w:rPr>
        <w:t>h</w:t>
      </w:r>
      <w:r w:rsidR="0087437A" w:rsidRPr="0099161A">
        <w:rPr>
          <w:rFonts w:cstheme="minorHAnsi"/>
          <w:color w:val="000000"/>
          <w:sz w:val="24"/>
          <w:szCs w:val="24"/>
        </w:rPr>
        <w:t xml:space="preserve">e former is </w:t>
      </w:r>
      <w:r w:rsidR="00A6709D" w:rsidRPr="0099161A">
        <w:rPr>
          <w:rFonts w:cstheme="minorHAnsi"/>
          <w:color w:val="000000"/>
          <w:sz w:val="24"/>
          <w:szCs w:val="24"/>
        </w:rPr>
        <w:t xml:space="preserve">more complex and </w:t>
      </w:r>
      <w:r w:rsidR="0087437A" w:rsidRPr="0099161A">
        <w:rPr>
          <w:rFonts w:cstheme="minorHAnsi"/>
          <w:color w:val="000000"/>
          <w:sz w:val="24"/>
          <w:szCs w:val="24"/>
        </w:rPr>
        <w:t>requires greater technological and infrastructure transformations</w:t>
      </w:r>
      <w:r w:rsidRPr="0099161A">
        <w:rPr>
          <w:rFonts w:cstheme="minorHAnsi"/>
          <w:color w:val="000000"/>
          <w:sz w:val="24"/>
          <w:szCs w:val="24"/>
        </w:rPr>
        <w:t>,</w:t>
      </w:r>
      <w:r w:rsidR="0087437A" w:rsidRPr="0099161A">
        <w:rPr>
          <w:rFonts w:cstheme="minorHAnsi"/>
          <w:color w:val="000000"/>
          <w:sz w:val="24"/>
          <w:szCs w:val="24"/>
        </w:rPr>
        <w:t xml:space="preserve"> whilst the latter can be driven locally and addressed immediately.</w:t>
      </w:r>
      <w:r w:rsidR="0087437A" w:rsidRPr="0099161A">
        <w:rPr>
          <w:rStyle w:val="FootnoteReference"/>
          <w:rFonts w:cstheme="minorHAnsi"/>
          <w:color w:val="000000"/>
          <w:sz w:val="24"/>
          <w:szCs w:val="24"/>
        </w:rPr>
        <w:footnoteReference w:id="4"/>
      </w:r>
      <w:r w:rsidR="0087437A" w:rsidRPr="0099161A">
        <w:rPr>
          <w:rFonts w:cstheme="minorHAnsi"/>
          <w:color w:val="000000"/>
          <w:sz w:val="24"/>
          <w:szCs w:val="24"/>
        </w:rPr>
        <w:t xml:space="preserve">  </w:t>
      </w:r>
      <w:r w:rsidR="00A6709D" w:rsidRPr="0099161A">
        <w:rPr>
          <w:rFonts w:cstheme="minorHAnsi"/>
          <w:sz w:val="24"/>
          <w:szCs w:val="24"/>
        </w:rPr>
        <w:t xml:space="preserve">Typical </w:t>
      </w:r>
      <w:r w:rsidR="00BB230F" w:rsidRPr="0099161A">
        <w:rPr>
          <w:rFonts w:cstheme="minorHAnsi"/>
          <w:sz w:val="24"/>
          <w:szCs w:val="24"/>
        </w:rPr>
        <w:t xml:space="preserve">‘energy efficiency’ </w:t>
      </w:r>
      <w:r w:rsidR="00A6709D" w:rsidRPr="0099161A">
        <w:rPr>
          <w:rFonts w:cstheme="minorHAnsi"/>
          <w:sz w:val="24"/>
          <w:szCs w:val="24"/>
        </w:rPr>
        <w:t>housing retrofitting measures include loft insulation, solid wall insulation (the insulation of external and internal walls), floor insulation and glazing improvements.</w:t>
      </w:r>
      <w:r w:rsidRPr="0099161A">
        <w:rPr>
          <w:rFonts w:cstheme="minorHAnsi"/>
          <w:sz w:val="24"/>
          <w:szCs w:val="24"/>
        </w:rPr>
        <w:t xml:space="preserve"> </w:t>
      </w:r>
      <w:r w:rsidR="00BB230F" w:rsidRPr="0099161A">
        <w:rPr>
          <w:rFonts w:cstheme="minorHAnsi"/>
          <w:sz w:val="24"/>
          <w:szCs w:val="24"/>
        </w:rPr>
        <w:t xml:space="preserve">West Yorkshire Combined Authority’s (WYCA) target is that the metropolitan county become carbon neutral by 2038. </w:t>
      </w:r>
      <w:r w:rsidRPr="0099161A">
        <w:rPr>
          <w:rFonts w:cstheme="minorHAnsi"/>
          <w:sz w:val="24"/>
          <w:szCs w:val="24"/>
        </w:rPr>
        <w:t xml:space="preserve">The region has a significant housing stock currently below ‘C’ level in the Energy Performance Certificate (EPC) scale. </w:t>
      </w:r>
      <w:r w:rsidR="00BB230F" w:rsidRPr="0099161A">
        <w:rPr>
          <w:rFonts w:cstheme="minorHAnsi"/>
          <w:sz w:val="24"/>
          <w:szCs w:val="24"/>
        </w:rPr>
        <w:t xml:space="preserve">According to modelling </w:t>
      </w:r>
      <w:r w:rsidR="0053183E" w:rsidRPr="0099161A">
        <w:rPr>
          <w:rFonts w:cstheme="minorHAnsi"/>
          <w:sz w:val="24"/>
          <w:szCs w:val="24"/>
        </w:rPr>
        <w:t xml:space="preserve">done </w:t>
      </w:r>
      <w:r w:rsidR="00BB230F" w:rsidRPr="0099161A">
        <w:rPr>
          <w:rFonts w:cstheme="minorHAnsi"/>
          <w:sz w:val="24"/>
          <w:szCs w:val="24"/>
        </w:rPr>
        <w:t xml:space="preserve">by Element Energy </w:t>
      </w:r>
      <w:r w:rsidR="0053183E" w:rsidRPr="0099161A">
        <w:rPr>
          <w:rFonts w:cstheme="minorHAnsi"/>
          <w:sz w:val="24"/>
          <w:szCs w:val="24"/>
        </w:rPr>
        <w:t xml:space="preserve">for </w:t>
      </w:r>
      <w:r w:rsidR="00BB230F" w:rsidRPr="0099161A">
        <w:rPr>
          <w:rFonts w:cstheme="minorHAnsi"/>
          <w:sz w:val="24"/>
          <w:szCs w:val="24"/>
        </w:rPr>
        <w:t xml:space="preserve">WYCA, </w:t>
      </w:r>
      <w:r w:rsidRPr="0099161A">
        <w:rPr>
          <w:rFonts w:cstheme="minorHAnsi"/>
          <w:sz w:val="24"/>
          <w:szCs w:val="24"/>
        </w:rPr>
        <w:t xml:space="preserve">improving the energy efficiency of around 680,000 homes would provide a major contribution to </w:t>
      </w:r>
      <w:r w:rsidR="00BB230F" w:rsidRPr="0099161A">
        <w:rPr>
          <w:rFonts w:cstheme="minorHAnsi"/>
          <w:sz w:val="24"/>
          <w:szCs w:val="24"/>
        </w:rPr>
        <w:t>WYCA’s carbon target</w:t>
      </w:r>
      <w:r w:rsidRPr="0099161A">
        <w:rPr>
          <w:rFonts w:cstheme="minorHAnsi"/>
          <w:sz w:val="24"/>
          <w:szCs w:val="24"/>
        </w:rPr>
        <w:t>.</w:t>
      </w:r>
      <w:r w:rsidRPr="0099161A">
        <w:rPr>
          <w:rStyle w:val="FootnoteReference"/>
          <w:rFonts w:cstheme="minorHAnsi"/>
          <w:sz w:val="24"/>
          <w:szCs w:val="24"/>
        </w:rPr>
        <w:footnoteReference w:id="5"/>
      </w:r>
      <w:r w:rsidRPr="0099161A">
        <w:rPr>
          <w:rFonts w:cstheme="minorHAnsi"/>
          <w:sz w:val="24"/>
          <w:szCs w:val="24"/>
        </w:rPr>
        <w:t xml:space="preserve"> </w:t>
      </w:r>
      <w:r w:rsidR="0053183E" w:rsidRPr="0099161A">
        <w:rPr>
          <w:rFonts w:cstheme="minorHAnsi"/>
          <w:sz w:val="24"/>
          <w:szCs w:val="24"/>
        </w:rPr>
        <w:t xml:space="preserve">A </w:t>
      </w:r>
      <w:r w:rsidR="005B0A4D" w:rsidRPr="0099161A">
        <w:rPr>
          <w:rFonts w:cstheme="minorHAnsi"/>
          <w:sz w:val="24"/>
          <w:szCs w:val="24"/>
        </w:rPr>
        <w:t>Local Government Association</w:t>
      </w:r>
      <w:r w:rsidR="0092025E" w:rsidRPr="0099161A">
        <w:rPr>
          <w:rFonts w:cstheme="minorHAnsi"/>
          <w:sz w:val="24"/>
          <w:szCs w:val="24"/>
        </w:rPr>
        <w:t xml:space="preserve"> report</w:t>
      </w:r>
      <w:r w:rsidR="0053183E" w:rsidRPr="0099161A">
        <w:rPr>
          <w:rFonts w:cstheme="minorHAnsi"/>
          <w:sz w:val="24"/>
          <w:szCs w:val="24"/>
        </w:rPr>
        <w:t xml:space="preserve"> has found that</w:t>
      </w:r>
      <w:r w:rsidR="005B0A4D" w:rsidRPr="0099161A">
        <w:rPr>
          <w:rFonts w:cstheme="minorHAnsi"/>
          <w:sz w:val="24"/>
          <w:szCs w:val="24"/>
        </w:rPr>
        <w:t xml:space="preserve"> 17,815 workers will be required to undertake retrofitting work in West Yorkshire. </w:t>
      </w:r>
      <w:r w:rsidR="00C97AC3" w:rsidRPr="0099161A">
        <w:rPr>
          <w:rFonts w:cstheme="minorHAnsi"/>
          <w:sz w:val="24"/>
          <w:szCs w:val="24"/>
        </w:rPr>
        <w:t>This is a</w:t>
      </w:r>
      <w:r w:rsidR="005B0A4D" w:rsidRPr="0099161A">
        <w:rPr>
          <w:rFonts w:cstheme="minorHAnsi"/>
          <w:sz w:val="24"/>
          <w:szCs w:val="24"/>
        </w:rPr>
        <w:t xml:space="preserve"> conservative estimate</w:t>
      </w:r>
      <w:r w:rsidR="00C97AC3" w:rsidRPr="0099161A">
        <w:rPr>
          <w:rFonts w:cstheme="minorHAnsi"/>
          <w:sz w:val="24"/>
          <w:szCs w:val="24"/>
        </w:rPr>
        <w:t xml:space="preserve">, since </w:t>
      </w:r>
      <w:r w:rsidR="005B0A4D" w:rsidRPr="0099161A">
        <w:rPr>
          <w:rFonts w:cstheme="minorHAnsi"/>
          <w:sz w:val="24"/>
          <w:szCs w:val="24"/>
        </w:rPr>
        <w:t>it assumes a 2050</w:t>
      </w:r>
      <w:r w:rsidR="0053183E" w:rsidRPr="0099161A">
        <w:rPr>
          <w:rFonts w:cstheme="minorHAnsi"/>
          <w:sz w:val="24"/>
          <w:szCs w:val="24"/>
        </w:rPr>
        <w:t xml:space="preserve"> – not 2038 – net </w:t>
      </w:r>
      <w:r w:rsidR="005B0A4D" w:rsidRPr="0099161A">
        <w:rPr>
          <w:rFonts w:cstheme="minorHAnsi"/>
          <w:sz w:val="24"/>
          <w:szCs w:val="24"/>
        </w:rPr>
        <w:t xml:space="preserve">zero carbon target, and </w:t>
      </w:r>
      <w:r w:rsidR="00C97AC3" w:rsidRPr="0099161A">
        <w:rPr>
          <w:rFonts w:cstheme="minorHAnsi"/>
          <w:sz w:val="24"/>
          <w:szCs w:val="24"/>
        </w:rPr>
        <w:t xml:space="preserve">accounts </w:t>
      </w:r>
      <w:r w:rsidR="005B0A4D" w:rsidRPr="0099161A">
        <w:rPr>
          <w:rFonts w:cstheme="minorHAnsi"/>
          <w:sz w:val="24"/>
          <w:szCs w:val="24"/>
        </w:rPr>
        <w:t>only for direct employment, not employment generated in the entire retrofit chain of activity.</w:t>
      </w:r>
      <w:r w:rsidR="00AD442F" w:rsidRPr="0099161A">
        <w:rPr>
          <w:rFonts w:cstheme="minorHAnsi"/>
          <w:sz w:val="24"/>
          <w:szCs w:val="24"/>
        </w:rPr>
        <w:t xml:space="preserve"> </w:t>
      </w:r>
    </w:p>
    <w:p w14:paraId="662438FA" w14:textId="04085B24" w:rsidR="00BB230F" w:rsidRPr="0099161A" w:rsidRDefault="007E65AB" w:rsidP="00BB230F">
      <w:pPr>
        <w:rPr>
          <w:rFonts w:cstheme="minorHAnsi"/>
          <w:sz w:val="24"/>
          <w:szCs w:val="24"/>
        </w:rPr>
      </w:pPr>
      <w:r w:rsidRPr="0099161A">
        <w:rPr>
          <w:rFonts w:cstheme="minorHAnsi"/>
          <w:sz w:val="24"/>
          <w:szCs w:val="24"/>
        </w:rPr>
        <w:t xml:space="preserve">However:  </w:t>
      </w:r>
      <w:r w:rsidR="006448A8" w:rsidRPr="0099161A">
        <w:rPr>
          <w:rFonts w:cstheme="minorHAnsi"/>
          <w:sz w:val="24"/>
          <w:szCs w:val="24"/>
        </w:rPr>
        <w:t xml:space="preserve"> </w:t>
      </w:r>
      <w:r w:rsidR="00BB230F" w:rsidRPr="0099161A">
        <w:rPr>
          <w:rFonts w:cstheme="minorHAnsi"/>
          <w:sz w:val="24"/>
          <w:szCs w:val="24"/>
        </w:rPr>
        <w:t xml:space="preserve"> </w:t>
      </w:r>
    </w:p>
    <w:p w14:paraId="5F6BCE44" w14:textId="0E2715DC" w:rsidR="00A6709D" w:rsidRPr="0099161A" w:rsidRDefault="00BC059B" w:rsidP="00D05BD2">
      <w:pPr>
        <w:pStyle w:val="ListParagraph"/>
        <w:numPr>
          <w:ilvl w:val="0"/>
          <w:numId w:val="8"/>
        </w:numPr>
        <w:rPr>
          <w:rFonts w:cstheme="minorHAnsi"/>
          <w:sz w:val="24"/>
          <w:szCs w:val="24"/>
        </w:rPr>
      </w:pPr>
      <w:r w:rsidRPr="0099161A">
        <w:rPr>
          <w:rFonts w:cstheme="minorHAnsi"/>
          <w:b/>
          <w:bCs/>
          <w:sz w:val="24"/>
          <w:szCs w:val="24"/>
        </w:rPr>
        <w:t>Current r</w:t>
      </w:r>
      <w:r w:rsidR="007E65AB" w:rsidRPr="0099161A">
        <w:rPr>
          <w:rFonts w:cstheme="minorHAnsi"/>
          <w:b/>
          <w:bCs/>
          <w:sz w:val="24"/>
          <w:szCs w:val="24"/>
        </w:rPr>
        <w:t>eal employment effects</w:t>
      </w:r>
      <w:r w:rsidR="007E65AB" w:rsidRPr="0099161A">
        <w:rPr>
          <w:rFonts w:cstheme="minorHAnsi"/>
          <w:sz w:val="24"/>
          <w:szCs w:val="24"/>
        </w:rPr>
        <w:t>: m</w:t>
      </w:r>
      <w:r w:rsidR="00A6709D" w:rsidRPr="0099161A">
        <w:rPr>
          <w:rFonts w:cstheme="minorHAnsi"/>
          <w:sz w:val="24"/>
          <w:szCs w:val="24"/>
        </w:rPr>
        <w:t xml:space="preserve">ost of the </w:t>
      </w:r>
      <w:r w:rsidR="007E65AB" w:rsidRPr="0099161A">
        <w:rPr>
          <w:rFonts w:cstheme="minorHAnsi"/>
          <w:sz w:val="24"/>
          <w:szCs w:val="24"/>
        </w:rPr>
        <w:t xml:space="preserve">retrofitting </w:t>
      </w:r>
      <w:r w:rsidR="00A6709D" w:rsidRPr="0099161A">
        <w:rPr>
          <w:rFonts w:cstheme="minorHAnsi"/>
          <w:sz w:val="24"/>
          <w:szCs w:val="24"/>
        </w:rPr>
        <w:t xml:space="preserve">work taking place in the Yorkshire region is </w:t>
      </w:r>
      <w:r w:rsidR="007E65AB" w:rsidRPr="0099161A">
        <w:rPr>
          <w:rFonts w:cstheme="minorHAnsi"/>
          <w:sz w:val="24"/>
          <w:szCs w:val="24"/>
        </w:rPr>
        <w:t xml:space="preserve">currently </w:t>
      </w:r>
      <w:r w:rsidR="00A6709D" w:rsidRPr="0099161A">
        <w:rPr>
          <w:rFonts w:cstheme="minorHAnsi"/>
          <w:sz w:val="24"/>
          <w:szCs w:val="24"/>
        </w:rPr>
        <w:t>delivered by large national building companies, working for large clients, typically local authorities or social housing providers.</w:t>
      </w:r>
      <w:r w:rsidR="007E65AB" w:rsidRPr="0099161A">
        <w:rPr>
          <w:rStyle w:val="FootnoteReference"/>
          <w:rFonts w:cstheme="minorHAnsi"/>
          <w:sz w:val="24"/>
          <w:szCs w:val="24"/>
        </w:rPr>
        <w:footnoteReference w:id="6"/>
      </w:r>
      <w:r w:rsidR="00A6709D" w:rsidRPr="0099161A">
        <w:rPr>
          <w:rFonts w:cstheme="minorHAnsi"/>
          <w:sz w:val="24"/>
          <w:szCs w:val="24"/>
        </w:rPr>
        <w:t xml:space="preserve"> These large companies operate through subcontracting arrangements. Typically, these national building companies choose from their own lists of pre-approved subcontractors, the vast majority of which are based </w:t>
      </w:r>
      <w:r w:rsidR="00A6709D" w:rsidRPr="0099161A">
        <w:rPr>
          <w:rFonts w:cstheme="minorHAnsi"/>
          <w:i/>
          <w:iCs/>
          <w:sz w:val="24"/>
          <w:szCs w:val="24"/>
        </w:rPr>
        <w:t>outside</w:t>
      </w:r>
      <w:r w:rsidR="00A6709D" w:rsidRPr="0099161A">
        <w:rPr>
          <w:rFonts w:cstheme="minorHAnsi"/>
          <w:sz w:val="24"/>
          <w:szCs w:val="24"/>
        </w:rPr>
        <w:t xml:space="preserve"> the Yorkshire region. This means that although local authorities may wish to employ local firms, their use of national firms for high volume energy efficiency work </w:t>
      </w:r>
      <w:r w:rsidR="00A6709D" w:rsidRPr="0099161A">
        <w:rPr>
          <w:rFonts w:cstheme="minorHAnsi"/>
          <w:sz w:val="24"/>
          <w:szCs w:val="24"/>
          <w:u w:val="single"/>
        </w:rPr>
        <w:t>does little to stimulate local employment</w:t>
      </w:r>
      <w:r w:rsidR="00A6709D" w:rsidRPr="0099161A">
        <w:rPr>
          <w:rFonts w:cstheme="minorHAnsi"/>
          <w:sz w:val="24"/>
          <w:szCs w:val="24"/>
        </w:rPr>
        <w:t xml:space="preserve">. Those firms based in the region that do undertake a significant level of home energy efficiency work are almost exclusively microbusinesses, working to small turnover, and usually also engaged in other types of construction activity alongside energy efficiency work. Overall, the home energy efficiency sector </w:t>
      </w:r>
      <w:r w:rsidR="007E65AB" w:rsidRPr="0099161A">
        <w:rPr>
          <w:rFonts w:cstheme="minorHAnsi"/>
          <w:sz w:val="24"/>
          <w:szCs w:val="24"/>
        </w:rPr>
        <w:t xml:space="preserve">in the region </w:t>
      </w:r>
      <w:r w:rsidR="00A6709D" w:rsidRPr="0099161A">
        <w:rPr>
          <w:rFonts w:cstheme="minorHAnsi"/>
          <w:sz w:val="24"/>
          <w:szCs w:val="24"/>
        </w:rPr>
        <w:t xml:space="preserve">is </w:t>
      </w:r>
      <w:r w:rsidR="007E65AB" w:rsidRPr="0099161A">
        <w:rPr>
          <w:rFonts w:cstheme="minorHAnsi"/>
          <w:sz w:val="24"/>
          <w:szCs w:val="24"/>
        </w:rPr>
        <w:t xml:space="preserve">currently </w:t>
      </w:r>
      <w:r w:rsidR="00A6709D" w:rsidRPr="0099161A">
        <w:rPr>
          <w:rFonts w:cstheme="minorHAnsi"/>
          <w:sz w:val="24"/>
          <w:szCs w:val="24"/>
        </w:rPr>
        <w:t>a small one, as compared to other types of building and construction work</w:t>
      </w:r>
      <w:r w:rsidR="007E65AB" w:rsidRPr="0099161A">
        <w:rPr>
          <w:rFonts w:cstheme="minorHAnsi"/>
          <w:sz w:val="24"/>
          <w:szCs w:val="24"/>
        </w:rPr>
        <w:t>.</w:t>
      </w:r>
      <w:r w:rsidR="00A6709D" w:rsidRPr="0099161A">
        <w:rPr>
          <w:rFonts w:cstheme="minorHAnsi"/>
          <w:sz w:val="24"/>
          <w:szCs w:val="24"/>
        </w:rPr>
        <w:t xml:space="preserve"> Those that work in energy efficiency are almost all owners</w:t>
      </w:r>
      <w:r w:rsidR="00AD442F" w:rsidRPr="0099161A">
        <w:rPr>
          <w:rFonts w:cstheme="minorHAnsi"/>
          <w:sz w:val="24"/>
          <w:szCs w:val="24"/>
        </w:rPr>
        <w:t>-</w:t>
      </w:r>
      <w:r w:rsidR="00A6709D" w:rsidRPr="0099161A">
        <w:rPr>
          <w:rFonts w:cstheme="minorHAnsi"/>
          <w:sz w:val="24"/>
          <w:szCs w:val="24"/>
        </w:rPr>
        <w:t xml:space="preserve">workers within non-specialist microbusinesses. These microbusinesses often lose out on larger contracts, because </w:t>
      </w:r>
      <w:r w:rsidR="00A6709D" w:rsidRPr="0099161A">
        <w:rPr>
          <w:rFonts w:cstheme="minorHAnsi"/>
          <w:sz w:val="24"/>
          <w:szCs w:val="24"/>
        </w:rPr>
        <w:lastRenderedPageBreak/>
        <w:t>they lack certification to prove the quality of their work</w:t>
      </w:r>
      <w:r w:rsidR="00AD3FFD" w:rsidRPr="0099161A">
        <w:rPr>
          <w:rFonts w:cstheme="minorHAnsi"/>
          <w:sz w:val="24"/>
          <w:szCs w:val="24"/>
        </w:rPr>
        <w:t xml:space="preserve">. They stress that </w:t>
      </w:r>
      <w:r w:rsidR="00A6709D" w:rsidRPr="0099161A">
        <w:rPr>
          <w:rFonts w:cstheme="minorHAnsi"/>
          <w:sz w:val="24"/>
          <w:szCs w:val="24"/>
        </w:rPr>
        <w:t>certification procedures are expensive and unwieldy. Training for energy efficiency installation is typically ‘on the job’ within these microbusinesses.</w:t>
      </w:r>
    </w:p>
    <w:p w14:paraId="16ACF973" w14:textId="0FFBF29E" w:rsidR="007B0E9A" w:rsidRPr="0099161A" w:rsidRDefault="007B0E9A" w:rsidP="00D05BD2">
      <w:pPr>
        <w:pStyle w:val="ListParagraph"/>
        <w:numPr>
          <w:ilvl w:val="0"/>
          <w:numId w:val="8"/>
        </w:numPr>
        <w:spacing w:before="240"/>
        <w:rPr>
          <w:sz w:val="24"/>
          <w:szCs w:val="24"/>
        </w:rPr>
      </w:pPr>
      <w:r w:rsidRPr="0099161A">
        <w:rPr>
          <w:b/>
          <w:bCs/>
          <w:sz w:val="24"/>
          <w:szCs w:val="24"/>
        </w:rPr>
        <w:t>Quality control issues</w:t>
      </w:r>
      <w:r w:rsidRPr="0099161A">
        <w:rPr>
          <w:sz w:val="24"/>
          <w:szCs w:val="24"/>
        </w:rPr>
        <w:t xml:space="preserve">: a recent government-sponsored report states, </w:t>
      </w:r>
      <w:r w:rsidR="000B7F1A" w:rsidRPr="0099161A">
        <w:rPr>
          <w:sz w:val="24"/>
          <w:szCs w:val="24"/>
        </w:rPr>
        <w:t>‘</w:t>
      </w:r>
      <w:r w:rsidRPr="0099161A">
        <w:rPr>
          <w:sz w:val="24"/>
          <w:szCs w:val="24"/>
        </w:rPr>
        <w:t xml:space="preserve">Whilst the majority of installations are carried out in a professional manner and to high quality, the inappropriate and </w:t>
      </w:r>
      <w:proofErr w:type="gramStart"/>
      <w:r w:rsidRPr="0099161A">
        <w:rPr>
          <w:sz w:val="24"/>
          <w:szCs w:val="24"/>
        </w:rPr>
        <w:t>poor quality</w:t>
      </w:r>
      <w:proofErr w:type="gramEnd"/>
      <w:r w:rsidRPr="0099161A">
        <w:rPr>
          <w:sz w:val="24"/>
          <w:szCs w:val="24"/>
        </w:rPr>
        <w:t xml:space="preserve"> delivery of a proportion of retrofit improvements has been acknowledged for some time.</w:t>
      </w:r>
      <w:r w:rsidR="000B7F1A" w:rsidRPr="0099161A">
        <w:rPr>
          <w:sz w:val="24"/>
          <w:szCs w:val="24"/>
        </w:rPr>
        <w:t>’</w:t>
      </w:r>
      <w:r w:rsidRPr="0099161A">
        <w:rPr>
          <w:rStyle w:val="FootnoteReference"/>
          <w:sz w:val="24"/>
          <w:szCs w:val="24"/>
        </w:rPr>
        <w:footnoteReference w:id="7"/>
      </w:r>
      <w:r w:rsidRPr="0099161A">
        <w:rPr>
          <w:sz w:val="24"/>
          <w:szCs w:val="24"/>
        </w:rPr>
        <w:t xml:space="preserve"> </w:t>
      </w:r>
      <w:r w:rsidR="000B7F1A" w:rsidRPr="0099161A">
        <w:rPr>
          <w:sz w:val="24"/>
          <w:szCs w:val="24"/>
        </w:rPr>
        <w:t xml:space="preserve"> This presents a</w:t>
      </w:r>
      <w:r w:rsidRPr="0099161A">
        <w:rPr>
          <w:sz w:val="24"/>
          <w:szCs w:val="24"/>
        </w:rPr>
        <w:t xml:space="preserve"> problem </w:t>
      </w:r>
      <w:r w:rsidR="000B7F1A" w:rsidRPr="0099161A">
        <w:rPr>
          <w:sz w:val="24"/>
          <w:szCs w:val="24"/>
        </w:rPr>
        <w:t>if</w:t>
      </w:r>
      <w:r w:rsidRPr="0099161A">
        <w:rPr>
          <w:sz w:val="24"/>
          <w:szCs w:val="24"/>
        </w:rPr>
        <w:t xml:space="preserve"> scal</w:t>
      </w:r>
      <w:r w:rsidR="000B7F1A" w:rsidRPr="0099161A">
        <w:rPr>
          <w:sz w:val="24"/>
          <w:szCs w:val="24"/>
        </w:rPr>
        <w:t xml:space="preserve">ing </w:t>
      </w:r>
      <w:r w:rsidRPr="0099161A">
        <w:rPr>
          <w:sz w:val="24"/>
          <w:szCs w:val="24"/>
        </w:rPr>
        <w:t>up provision</w:t>
      </w:r>
      <w:r w:rsidR="000B7F1A" w:rsidRPr="0099161A">
        <w:rPr>
          <w:sz w:val="24"/>
          <w:szCs w:val="24"/>
        </w:rPr>
        <w:t xml:space="preserve"> (the need to address </w:t>
      </w:r>
      <w:r w:rsidRPr="0099161A">
        <w:rPr>
          <w:sz w:val="24"/>
          <w:szCs w:val="24"/>
        </w:rPr>
        <w:t>certification</w:t>
      </w:r>
      <w:r w:rsidR="000B7F1A" w:rsidRPr="0099161A">
        <w:rPr>
          <w:sz w:val="24"/>
          <w:szCs w:val="24"/>
        </w:rPr>
        <w:t>,</w:t>
      </w:r>
      <w:r w:rsidRPr="0099161A">
        <w:rPr>
          <w:sz w:val="24"/>
          <w:szCs w:val="24"/>
        </w:rPr>
        <w:t xml:space="preserve"> training</w:t>
      </w:r>
      <w:r w:rsidR="000B7F1A" w:rsidRPr="0099161A">
        <w:rPr>
          <w:sz w:val="24"/>
          <w:szCs w:val="24"/>
        </w:rPr>
        <w:t xml:space="preserve"> </w:t>
      </w:r>
      <w:r w:rsidR="000B7F1A" w:rsidRPr="0099161A">
        <w:rPr>
          <w:i/>
          <w:iCs/>
          <w:sz w:val="24"/>
          <w:szCs w:val="24"/>
        </w:rPr>
        <w:t xml:space="preserve">and </w:t>
      </w:r>
      <w:r w:rsidR="000B7F1A" w:rsidRPr="0099161A">
        <w:rPr>
          <w:sz w:val="24"/>
          <w:szCs w:val="24"/>
        </w:rPr>
        <w:t xml:space="preserve">a </w:t>
      </w:r>
      <w:r w:rsidRPr="0099161A">
        <w:rPr>
          <w:sz w:val="24"/>
          <w:szCs w:val="24"/>
        </w:rPr>
        <w:t>‘performance gap’</w:t>
      </w:r>
      <w:r w:rsidR="000B7F1A" w:rsidRPr="0099161A">
        <w:rPr>
          <w:sz w:val="24"/>
          <w:szCs w:val="24"/>
        </w:rPr>
        <w:t xml:space="preserve"> which otherwise </w:t>
      </w:r>
      <w:r w:rsidRPr="0099161A">
        <w:rPr>
          <w:sz w:val="24"/>
          <w:szCs w:val="24"/>
        </w:rPr>
        <w:t>diminish</w:t>
      </w:r>
      <w:r w:rsidR="000B7F1A" w:rsidRPr="0099161A">
        <w:rPr>
          <w:sz w:val="24"/>
          <w:szCs w:val="24"/>
        </w:rPr>
        <w:t>es</w:t>
      </w:r>
      <w:r w:rsidRPr="0099161A">
        <w:rPr>
          <w:sz w:val="24"/>
          <w:szCs w:val="24"/>
        </w:rPr>
        <w:t xml:space="preserve"> heat saving potential of insulation measures</w:t>
      </w:r>
      <w:r w:rsidR="00C528C7" w:rsidRPr="0099161A">
        <w:rPr>
          <w:sz w:val="24"/>
          <w:szCs w:val="24"/>
        </w:rPr>
        <w:t>)</w:t>
      </w:r>
      <w:r w:rsidR="000B7F1A" w:rsidRPr="0099161A">
        <w:rPr>
          <w:sz w:val="24"/>
          <w:szCs w:val="24"/>
        </w:rPr>
        <w:t>.</w:t>
      </w:r>
      <w:r w:rsidR="000B7F1A" w:rsidRPr="0099161A">
        <w:rPr>
          <w:rStyle w:val="FootnoteReference"/>
          <w:sz w:val="24"/>
          <w:szCs w:val="24"/>
        </w:rPr>
        <w:footnoteReference w:id="8"/>
      </w:r>
      <w:r w:rsidRPr="0099161A">
        <w:rPr>
          <w:sz w:val="24"/>
          <w:szCs w:val="24"/>
        </w:rPr>
        <w:t xml:space="preserve"> </w:t>
      </w:r>
    </w:p>
    <w:p w14:paraId="06190F00" w14:textId="6725C06C" w:rsidR="00AD3FFD" w:rsidRPr="0099161A" w:rsidRDefault="00BC059B" w:rsidP="00AD3FFD">
      <w:pPr>
        <w:pStyle w:val="ListParagraph"/>
        <w:numPr>
          <w:ilvl w:val="0"/>
          <w:numId w:val="8"/>
        </w:numPr>
        <w:spacing w:after="0" w:line="240" w:lineRule="auto"/>
        <w:rPr>
          <w:rFonts w:cstheme="minorHAnsi"/>
          <w:b/>
          <w:bCs/>
          <w:i/>
          <w:iCs/>
          <w:sz w:val="24"/>
          <w:szCs w:val="24"/>
        </w:rPr>
      </w:pPr>
      <w:r w:rsidRPr="0099161A">
        <w:rPr>
          <w:rFonts w:cstheme="minorHAnsi"/>
          <w:b/>
          <w:bCs/>
          <w:sz w:val="24"/>
          <w:szCs w:val="24"/>
        </w:rPr>
        <w:t>Current real procurement/sourcing synergies</w:t>
      </w:r>
      <w:r w:rsidRPr="0099161A">
        <w:rPr>
          <w:rFonts w:cstheme="minorHAnsi"/>
          <w:sz w:val="24"/>
          <w:szCs w:val="24"/>
        </w:rPr>
        <w:t>: t</w:t>
      </w:r>
      <w:r w:rsidR="00A6709D" w:rsidRPr="0099161A">
        <w:rPr>
          <w:rFonts w:cstheme="minorHAnsi"/>
          <w:sz w:val="24"/>
          <w:szCs w:val="24"/>
        </w:rPr>
        <w:t xml:space="preserve">he </w:t>
      </w:r>
      <w:r w:rsidRPr="0099161A">
        <w:rPr>
          <w:rFonts w:cstheme="minorHAnsi"/>
          <w:sz w:val="24"/>
          <w:szCs w:val="24"/>
        </w:rPr>
        <w:t xml:space="preserve">main </w:t>
      </w:r>
      <w:r w:rsidR="00A6709D" w:rsidRPr="0099161A">
        <w:rPr>
          <w:rFonts w:cstheme="minorHAnsi"/>
          <w:sz w:val="24"/>
          <w:szCs w:val="24"/>
        </w:rPr>
        <w:t xml:space="preserve">materials </w:t>
      </w:r>
      <w:r w:rsidRPr="0099161A">
        <w:rPr>
          <w:rFonts w:cstheme="minorHAnsi"/>
          <w:sz w:val="24"/>
          <w:szCs w:val="24"/>
        </w:rPr>
        <w:t>used in housing retrofitting are</w:t>
      </w:r>
      <w:r w:rsidR="00A6709D" w:rsidRPr="0099161A">
        <w:rPr>
          <w:rFonts w:cstheme="minorHAnsi"/>
          <w:sz w:val="24"/>
          <w:szCs w:val="24"/>
        </w:rPr>
        <w:t xml:space="preserve"> polystyrene beads</w:t>
      </w:r>
      <w:r w:rsidRPr="0099161A">
        <w:rPr>
          <w:rFonts w:cstheme="minorHAnsi"/>
          <w:sz w:val="24"/>
          <w:szCs w:val="24"/>
        </w:rPr>
        <w:t>,</w:t>
      </w:r>
      <w:r w:rsidR="00A6709D" w:rsidRPr="0099161A">
        <w:rPr>
          <w:rFonts w:cstheme="minorHAnsi"/>
          <w:sz w:val="24"/>
          <w:szCs w:val="24"/>
        </w:rPr>
        <w:t xml:space="preserve"> polyurethane foam, spray foam, fibreglass blankets, and glass. Analysis of firms’ sourcing patterns suggests the majority of these materials are </w:t>
      </w:r>
      <w:r w:rsidRPr="0099161A">
        <w:rPr>
          <w:rFonts w:cstheme="minorHAnsi"/>
          <w:sz w:val="24"/>
          <w:szCs w:val="24"/>
        </w:rPr>
        <w:t xml:space="preserve">currently </w:t>
      </w:r>
      <w:r w:rsidR="00A6709D" w:rsidRPr="0099161A">
        <w:rPr>
          <w:rFonts w:cstheme="minorHAnsi"/>
          <w:sz w:val="24"/>
          <w:szCs w:val="24"/>
        </w:rPr>
        <w:t xml:space="preserve">purchased from </w:t>
      </w:r>
      <w:r w:rsidR="00A6709D" w:rsidRPr="0099161A">
        <w:rPr>
          <w:rFonts w:cstheme="minorHAnsi"/>
          <w:i/>
          <w:iCs/>
          <w:sz w:val="24"/>
          <w:szCs w:val="24"/>
        </w:rPr>
        <w:t>outside</w:t>
      </w:r>
      <w:r w:rsidR="00A6709D" w:rsidRPr="0099161A">
        <w:rPr>
          <w:rFonts w:cstheme="minorHAnsi"/>
          <w:sz w:val="24"/>
          <w:szCs w:val="24"/>
        </w:rPr>
        <w:t xml:space="preserve"> the region, and in some cases from outside of the country</w:t>
      </w:r>
      <w:r w:rsidR="00AD3FFD" w:rsidRPr="0099161A">
        <w:rPr>
          <w:rFonts w:cstheme="minorHAnsi"/>
          <w:sz w:val="24"/>
          <w:szCs w:val="24"/>
        </w:rPr>
        <w:t>,</w:t>
      </w:r>
      <w:r w:rsidRPr="0099161A">
        <w:rPr>
          <w:rFonts w:cstheme="minorHAnsi"/>
          <w:sz w:val="24"/>
          <w:szCs w:val="24"/>
        </w:rPr>
        <w:t xml:space="preserve"> </w:t>
      </w:r>
      <w:r w:rsidR="00A6709D" w:rsidRPr="0099161A">
        <w:rPr>
          <w:rFonts w:cstheme="minorHAnsi"/>
          <w:sz w:val="24"/>
          <w:szCs w:val="24"/>
        </w:rPr>
        <w:t xml:space="preserve">likely </w:t>
      </w:r>
      <w:r w:rsidRPr="0099161A">
        <w:rPr>
          <w:rFonts w:cstheme="minorHAnsi"/>
          <w:sz w:val="24"/>
          <w:szCs w:val="24"/>
        </w:rPr>
        <w:t xml:space="preserve">following </w:t>
      </w:r>
      <w:r w:rsidR="00AD3FFD" w:rsidRPr="0099161A">
        <w:rPr>
          <w:rFonts w:cstheme="minorHAnsi"/>
          <w:sz w:val="24"/>
          <w:szCs w:val="24"/>
        </w:rPr>
        <w:t>supply chain priorities of</w:t>
      </w:r>
      <w:r w:rsidRPr="0099161A">
        <w:rPr>
          <w:rFonts w:cstheme="minorHAnsi"/>
          <w:sz w:val="24"/>
          <w:szCs w:val="24"/>
        </w:rPr>
        <w:t xml:space="preserve"> larger</w:t>
      </w:r>
      <w:r w:rsidR="00A6709D" w:rsidRPr="0099161A">
        <w:rPr>
          <w:rFonts w:cstheme="minorHAnsi"/>
          <w:sz w:val="24"/>
          <w:szCs w:val="24"/>
        </w:rPr>
        <w:t xml:space="preserve"> regional or national </w:t>
      </w:r>
      <w:r w:rsidR="00AD3FFD" w:rsidRPr="0099161A">
        <w:rPr>
          <w:rFonts w:cstheme="minorHAnsi"/>
          <w:sz w:val="24"/>
          <w:szCs w:val="24"/>
        </w:rPr>
        <w:t>firms</w:t>
      </w:r>
      <w:r w:rsidRPr="0099161A">
        <w:rPr>
          <w:rFonts w:cstheme="minorHAnsi"/>
          <w:sz w:val="24"/>
          <w:szCs w:val="24"/>
        </w:rPr>
        <w:t>.</w:t>
      </w:r>
      <w:r w:rsidR="00A6709D" w:rsidRPr="0099161A">
        <w:rPr>
          <w:rFonts w:cstheme="minorHAnsi"/>
          <w:sz w:val="24"/>
          <w:szCs w:val="24"/>
        </w:rPr>
        <w:t xml:space="preserve"> </w:t>
      </w:r>
      <w:r w:rsidR="00AD3FFD" w:rsidRPr="0099161A">
        <w:rPr>
          <w:rFonts w:cstheme="minorHAnsi"/>
          <w:sz w:val="24"/>
          <w:szCs w:val="24"/>
        </w:rPr>
        <w:t>Overall, the</w:t>
      </w:r>
      <w:r w:rsidR="00A6709D" w:rsidRPr="0099161A">
        <w:rPr>
          <w:rFonts w:cstheme="minorHAnsi"/>
          <w:sz w:val="24"/>
          <w:szCs w:val="24"/>
        </w:rPr>
        <w:t xml:space="preserve"> supply chain is ‘fractured’, leading to inefficiencies and extra expense in procurement</w:t>
      </w:r>
      <w:r w:rsidR="00AD3FFD" w:rsidRPr="0099161A">
        <w:rPr>
          <w:rFonts w:cstheme="minorHAnsi"/>
          <w:sz w:val="24"/>
          <w:szCs w:val="24"/>
        </w:rPr>
        <w:t>.</w:t>
      </w:r>
      <w:r w:rsidR="00AD3FFD" w:rsidRPr="0099161A">
        <w:rPr>
          <w:rStyle w:val="FootnoteReference"/>
          <w:rFonts w:cstheme="minorHAnsi"/>
          <w:sz w:val="24"/>
          <w:szCs w:val="24"/>
        </w:rPr>
        <w:footnoteReference w:id="9"/>
      </w:r>
      <w:r w:rsidR="00A6709D" w:rsidRPr="0099161A">
        <w:rPr>
          <w:rFonts w:cstheme="minorHAnsi"/>
          <w:sz w:val="24"/>
          <w:szCs w:val="24"/>
        </w:rPr>
        <w:t xml:space="preserve"> </w:t>
      </w:r>
    </w:p>
    <w:p w14:paraId="4D417A27" w14:textId="2E53D36A" w:rsidR="00AD3FFD" w:rsidRPr="0099161A" w:rsidRDefault="00AD3FFD" w:rsidP="00AD3FFD">
      <w:pPr>
        <w:spacing w:after="0" w:line="240" w:lineRule="auto"/>
        <w:rPr>
          <w:rFonts w:cstheme="minorHAnsi"/>
          <w:i/>
          <w:iCs/>
          <w:sz w:val="24"/>
          <w:szCs w:val="24"/>
        </w:rPr>
      </w:pPr>
    </w:p>
    <w:p w14:paraId="60E25DBA" w14:textId="7AFFCB57" w:rsidR="00AD3FFD" w:rsidRPr="0099161A" w:rsidRDefault="00AD3FFD" w:rsidP="00AD3FFD">
      <w:pPr>
        <w:spacing w:after="0" w:line="240" w:lineRule="auto"/>
        <w:rPr>
          <w:rFonts w:cstheme="minorHAnsi"/>
          <w:sz w:val="24"/>
          <w:szCs w:val="24"/>
        </w:rPr>
      </w:pPr>
      <w:r w:rsidRPr="0099161A">
        <w:rPr>
          <w:rFonts w:cstheme="minorHAnsi"/>
          <w:sz w:val="24"/>
          <w:szCs w:val="24"/>
        </w:rPr>
        <w:t>And:</w:t>
      </w:r>
    </w:p>
    <w:p w14:paraId="4228B1F4" w14:textId="2E3FC677" w:rsidR="00AD3FFD" w:rsidRPr="0099161A" w:rsidRDefault="00AD3FFD" w:rsidP="00AD3FFD">
      <w:pPr>
        <w:spacing w:after="0" w:line="240" w:lineRule="auto"/>
        <w:rPr>
          <w:rFonts w:cstheme="minorHAnsi"/>
          <w:b/>
          <w:bCs/>
          <w:sz w:val="24"/>
          <w:szCs w:val="24"/>
        </w:rPr>
      </w:pPr>
    </w:p>
    <w:p w14:paraId="341ADC9C" w14:textId="552F2EE6" w:rsidR="00A6709D" w:rsidRPr="0099161A" w:rsidRDefault="00AD3FFD" w:rsidP="00AD442F">
      <w:pPr>
        <w:pStyle w:val="ListParagraph"/>
        <w:numPr>
          <w:ilvl w:val="0"/>
          <w:numId w:val="8"/>
        </w:numPr>
        <w:rPr>
          <w:rFonts w:cstheme="minorHAnsi"/>
          <w:sz w:val="24"/>
          <w:szCs w:val="24"/>
        </w:rPr>
      </w:pPr>
      <w:r w:rsidRPr="0099161A">
        <w:rPr>
          <w:rFonts w:cstheme="minorHAnsi"/>
          <w:b/>
          <w:bCs/>
          <w:sz w:val="24"/>
          <w:szCs w:val="24"/>
        </w:rPr>
        <w:t>F</w:t>
      </w:r>
      <w:r w:rsidR="00A6709D" w:rsidRPr="0099161A">
        <w:rPr>
          <w:rFonts w:cstheme="minorHAnsi"/>
          <w:b/>
          <w:bCs/>
          <w:sz w:val="24"/>
          <w:szCs w:val="24"/>
        </w:rPr>
        <w:t>unding</w:t>
      </w:r>
      <w:r w:rsidRPr="0099161A">
        <w:rPr>
          <w:rFonts w:cstheme="minorHAnsi"/>
          <w:sz w:val="24"/>
          <w:szCs w:val="24"/>
        </w:rPr>
        <w:t>:</w:t>
      </w:r>
      <w:r w:rsidR="00A6709D" w:rsidRPr="0099161A">
        <w:rPr>
          <w:rFonts w:cstheme="minorHAnsi"/>
          <w:sz w:val="24"/>
          <w:szCs w:val="24"/>
        </w:rPr>
        <w:t xml:space="preserve"> </w:t>
      </w:r>
      <w:proofErr w:type="gramStart"/>
      <w:r w:rsidRPr="0099161A">
        <w:rPr>
          <w:rFonts w:cstheme="minorHAnsi"/>
          <w:sz w:val="24"/>
          <w:szCs w:val="24"/>
        </w:rPr>
        <w:t>a</w:t>
      </w:r>
      <w:r w:rsidR="00A6709D" w:rsidRPr="0099161A">
        <w:rPr>
          <w:rFonts w:cstheme="minorHAnsi"/>
          <w:sz w:val="24"/>
          <w:szCs w:val="24"/>
        </w:rPr>
        <w:t>s yet,</w:t>
      </w:r>
      <w:proofErr w:type="gramEnd"/>
      <w:r w:rsidR="00A6709D" w:rsidRPr="0099161A">
        <w:rPr>
          <w:rFonts w:cstheme="minorHAnsi"/>
          <w:sz w:val="24"/>
          <w:szCs w:val="24"/>
        </w:rPr>
        <w:t xml:space="preserve"> there have been no estimates of the costs of retrofitting 680,000 properties to EPC C standards. </w:t>
      </w:r>
      <w:r w:rsidR="00AD442F" w:rsidRPr="0099161A">
        <w:rPr>
          <w:rFonts w:cstheme="minorHAnsi"/>
          <w:sz w:val="24"/>
          <w:szCs w:val="24"/>
        </w:rPr>
        <w:t>A</w:t>
      </w:r>
      <w:r w:rsidRPr="0099161A">
        <w:rPr>
          <w:rFonts w:cstheme="minorHAnsi"/>
          <w:sz w:val="24"/>
          <w:szCs w:val="24"/>
        </w:rPr>
        <w:t xml:space="preserve"> conservative assumption of £5000 per household would yield a £3.4 billion cost, </w:t>
      </w:r>
      <w:r w:rsidRPr="0099161A">
        <w:rPr>
          <w:rFonts w:cstheme="minorHAnsi"/>
          <w:sz w:val="24"/>
          <w:szCs w:val="24"/>
          <w:u w:val="single"/>
        </w:rPr>
        <w:t xml:space="preserve">far outstripping resources </w:t>
      </w:r>
      <w:r w:rsidR="00AD442F" w:rsidRPr="0099161A">
        <w:rPr>
          <w:rFonts w:cstheme="minorHAnsi"/>
          <w:sz w:val="24"/>
          <w:szCs w:val="24"/>
          <w:u w:val="single"/>
        </w:rPr>
        <w:t xml:space="preserve">currently </w:t>
      </w:r>
      <w:r w:rsidRPr="0099161A">
        <w:rPr>
          <w:rFonts w:cstheme="minorHAnsi"/>
          <w:sz w:val="24"/>
          <w:szCs w:val="24"/>
          <w:u w:val="single"/>
        </w:rPr>
        <w:t>available to public authorities in West Yorkshire</w:t>
      </w:r>
      <w:r w:rsidRPr="0099161A">
        <w:rPr>
          <w:rFonts w:cstheme="minorHAnsi"/>
          <w:sz w:val="24"/>
          <w:szCs w:val="24"/>
        </w:rPr>
        <w:t>.</w:t>
      </w:r>
      <w:r w:rsidRPr="0099161A">
        <w:rPr>
          <w:rStyle w:val="FootnoteReference"/>
          <w:rFonts w:cstheme="minorHAnsi"/>
          <w:sz w:val="24"/>
          <w:szCs w:val="24"/>
        </w:rPr>
        <w:footnoteReference w:id="10"/>
      </w:r>
      <w:r w:rsidRPr="0099161A">
        <w:rPr>
          <w:rFonts w:cstheme="minorHAnsi"/>
          <w:sz w:val="24"/>
          <w:szCs w:val="24"/>
        </w:rPr>
        <w:t xml:space="preserve"> </w:t>
      </w:r>
      <w:r w:rsidR="00AD442F" w:rsidRPr="0099161A">
        <w:rPr>
          <w:rFonts w:cstheme="minorHAnsi"/>
          <w:sz w:val="24"/>
          <w:szCs w:val="24"/>
        </w:rPr>
        <w:t xml:space="preserve">However, linear extrapolation of costs is unlikely to be realistic, since </w:t>
      </w:r>
      <w:r w:rsidR="00EA1444" w:rsidRPr="0099161A">
        <w:rPr>
          <w:rFonts w:cstheme="minorHAnsi"/>
          <w:sz w:val="24"/>
          <w:szCs w:val="24"/>
        </w:rPr>
        <w:t xml:space="preserve">supply chain fracture can be addressed and </w:t>
      </w:r>
      <w:r w:rsidR="00AD442F" w:rsidRPr="0099161A">
        <w:rPr>
          <w:rFonts w:cstheme="minorHAnsi"/>
          <w:sz w:val="24"/>
          <w:szCs w:val="24"/>
        </w:rPr>
        <w:t>economies</w:t>
      </w:r>
      <w:r w:rsidR="00EA1444" w:rsidRPr="0099161A">
        <w:rPr>
          <w:rFonts w:cstheme="minorHAnsi"/>
          <w:sz w:val="24"/>
          <w:szCs w:val="24"/>
        </w:rPr>
        <w:t xml:space="preserve"> of scale can be applied, reducing unit costs.   </w:t>
      </w:r>
      <w:r w:rsidR="00AD442F" w:rsidRPr="0099161A">
        <w:rPr>
          <w:rFonts w:cstheme="minorHAnsi"/>
          <w:sz w:val="24"/>
          <w:szCs w:val="24"/>
        </w:rPr>
        <w:t xml:space="preserve"> </w:t>
      </w:r>
    </w:p>
    <w:p w14:paraId="65590C61" w14:textId="243CBF27" w:rsidR="00A9243F" w:rsidRPr="0099161A" w:rsidRDefault="008D0D79" w:rsidP="009578CC">
      <w:pPr>
        <w:rPr>
          <w:rFonts w:cstheme="minorHAnsi"/>
          <w:b/>
          <w:bCs/>
          <w:sz w:val="24"/>
          <w:szCs w:val="24"/>
        </w:rPr>
      </w:pPr>
      <w:r w:rsidRPr="0099161A">
        <w:rPr>
          <w:rFonts w:cstheme="minorHAnsi"/>
          <w:b/>
          <w:bCs/>
          <w:sz w:val="24"/>
          <w:szCs w:val="24"/>
        </w:rPr>
        <w:t>Place-based system</w:t>
      </w:r>
      <w:r w:rsidR="00EE2B32" w:rsidRPr="0099161A">
        <w:rPr>
          <w:rFonts w:cstheme="minorHAnsi"/>
          <w:b/>
          <w:bCs/>
          <w:sz w:val="24"/>
          <w:szCs w:val="24"/>
        </w:rPr>
        <w:t>-</w:t>
      </w:r>
      <w:r w:rsidRPr="0099161A">
        <w:rPr>
          <w:rFonts w:cstheme="minorHAnsi"/>
          <w:b/>
          <w:bCs/>
          <w:sz w:val="24"/>
          <w:szCs w:val="24"/>
        </w:rPr>
        <w:t>of</w:t>
      </w:r>
      <w:r w:rsidR="00EE2B32" w:rsidRPr="0099161A">
        <w:rPr>
          <w:rFonts w:cstheme="minorHAnsi"/>
          <w:b/>
          <w:bCs/>
          <w:sz w:val="24"/>
          <w:szCs w:val="24"/>
        </w:rPr>
        <w:t>-</w:t>
      </w:r>
      <w:r w:rsidRPr="0099161A">
        <w:rPr>
          <w:rFonts w:cstheme="minorHAnsi"/>
          <w:b/>
          <w:bCs/>
          <w:sz w:val="24"/>
          <w:szCs w:val="24"/>
        </w:rPr>
        <w:t>system</w:t>
      </w:r>
      <w:r w:rsidR="0099745B" w:rsidRPr="0099161A">
        <w:rPr>
          <w:rFonts w:cstheme="minorHAnsi"/>
          <w:b/>
          <w:bCs/>
          <w:sz w:val="24"/>
          <w:szCs w:val="24"/>
        </w:rPr>
        <w:t>s</w:t>
      </w:r>
      <w:r w:rsidRPr="0099161A">
        <w:rPr>
          <w:rFonts w:cstheme="minorHAnsi"/>
          <w:b/>
          <w:bCs/>
          <w:sz w:val="24"/>
          <w:szCs w:val="24"/>
        </w:rPr>
        <w:t xml:space="preserve"> recommendations</w:t>
      </w:r>
      <w:r w:rsidR="00A9243F" w:rsidRPr="0099161A">
        <w:rPr>
          <w:rFonts w:cstheme="minorHAnsi"/>
          <w:b/>
          <w:bCs/>
          <w:sz w:val="24"/>
          <w:szCs w:val="24"/>
        </w:rPr>
        <w:t xml:space="preserve"> </w:t>
      </w:r>
    </w:p>
    <w:p w14:paraId="081F6CFE" w14:textId="27DD06C2" w:rsidR="009578CC" w:rsidRPr="0099161A" w:rsidRDefault="009578CC" w:rsidP="009578CC">
      <w:pPr>
        <w:rPr>
          <w:rFonts w:cstheme="minorHAnsi"/>
          <w:sz w:val="24"/>
          <w:szCs w:val="24"/>
        </w:rPr>
      </w:pPr>
      <w:r w:rsidRPr="0099161A">
        <w:rPr>
          <w:rFonts w:cstheme="minorHAnsi"/>
          <w:sz w:val="24"/>
          <w:szCs w:val="24"/>
        </w:rPr>
        <w:t>There are clear benefits from combining:</w:t>
      </w:r>
    </w:p>
    <w:p w14:paraId="7D5BF8FB" w14:textId="307A1C64" w:rsidR="009578CC" w:rsidRPr="0099161A" w:rsidRDefault="009578CC" w:rsidP="009578CC">
      <w:pPr>
        <w:pStyle w:val="ListParagraph"/>
        <w:numPr>
          <w:ilvl w:val="0"/>
          <w:numId w:val="5"/>
        </w:numPr>
        <w:rPr>
          <w:rFonts w:cstheme="minorHAnsi"/>
          <w:sz w:val="24"/>
          <w:szCs w:val="24"/>
        </w:rPr>
      </w:pPr>
      <w:r w:rsidRPr="0099161A">
        <w:rPr>
          <w:rFonts w:cstheme="minorHAnsi"/>
          <w:sz w:val="24"/>
          <w:szCs w:val="24"/>
        </w:rPr>
        <w:t>An increase in public funding directed to housing retrofit.</w:t>
      </w:r>
    </w:p>
    <w:p w14:paraId="5CCC9C9D" w14:textId="77777777" w:rsidR="009578CC" w:rsidRPr="0099161A" w:rsidRDefault="009578CC" w:rsidP="009578CC">
      <w:pPr>
        <w:pStyle w:val="ListParagraph"/>
        <w:numPr>
          <w:ilvl w:val="0"/>
          <w:numId w:val="5"/>
        </w:numPr>
        <w:rPr>
          <w:rFonts w:cstheme="minorHAnsi"/>
          <w:sz w:val="24"/>
          <w:szCs w:val="24"/>
        </w:rPr>
      </w:pPr>
      <w:r w:rsidRPr="0099161A">
        <w:rPr>
          <w:rFonts w:cstheme="minorHAnsi"/>
          <w:sz w:val="24"/>
          <w:szCs w:val="24"/>
        </w:rPr>
        <w:t xml:space="preserve">The adoption of bridging strategies that facilitate local uptake of available funding.     </w:t>
      </w:r>
    </w:p>
    <w:p w14:paraId="3CB5DF16" w14:textId="4E59F46C" w:rsidR="009578CC" w:rsidRPr="0099161A" w:rsidRDefault="009578CC" w:rsidP="009578CC">
      <w:pPr>
        <w:pStyle w:val="ListParagraph"/>
        <w:numPr>
          <w:ilvl w:val="0"/>
          <w:numId w:val="5"/>
        </w:numPr>
        <w:rPr>
          <w:rFonts w:cstheme="minorHAnsi"/>
          <w:sz w:val="24"/>
          <w:szCs w:val="24"/>
        </w:rPr>
      </w:pPr>
      <w:r w:rsidRPr="0099161A">
        <w:rPr>
          <w:rFonts w:cstheme="minorHAnsi"/>
          <w:sz w:val="24"/>
          <w:szCs w:val="24"/>
        </w:rPr>
        <w:t>A reassessment of regional</w:t>
      </w:r>
      <w:r w:rsidR="00EA7E51" w:rsidRPr="0099161A">
        <w:rPr>
          <w:rFonts w:cstheme="minorHAnsi"/>
          <w:sz w:val="24"/>
          <w:szCs w:val="24"/>
        </w:rPr>
        <w:t>ly available</w:t>
      </w:r>
      <w:r w:rsidRPr="0099161A">
        <w:rPr>
          <w:rFonts w:cstheme="minorHAnsi"/>
          <w:sz w:val="24"/>
          <w:szCs w:val="24"/>
        </w:rPr>
        <w:t xml:space="preserve"> training in order to support more localised employment effects – combined with</w:t>
      </w:r>
      <w:r w:rsidR="00EA7E51" w:rsidRPr="0099161A">
        <w:rPr>
          <w:rFonts w:cstheme="minorHAnsi"/>
          <w:sz w:val="24"/>
          <w:szCs w:val="24"/>
        </w:rPr>
        <w:t xml:space="preserve"> </w:t>
      </w:r>
      <w:r w:rsidRPr="0099161A">
        <w:rPr>
          <w:rFonts w:cstheme="minorHAnsi"/>
          <w:sz w:val="24"/>
          <w:szCs w:val="24"/>
        </w:rPr>
        <w:t xml:space="preserve">direction of resources to local education institutions to support skills transitions.        </w:t>
      </w:r>
    </w:p>
    <w:p w14:paraId="1A0DC08D" w14:textId="77777777" w:rsidR="00EA7E51" w:rsidRPr="0099161A" w:rsidRDefault="009578CC" w:rsidP="009578CC">
      <w:pPr>
        <w:pStyle w:val="ListParagraph"/>
        <w:numPr>
          <w:ilvl w:val="0"/>
          <w:numId w:val="5"/>
        </w:numPr>
        <w:rPr>
          <w:rFonts w:cstheme="minorHAnsi"/>
          <w:sz w:val="24"/>
          <w:szCs w:val="24"/>
        </w:rPr>
      </w:pPr>
      <w:r w:rsidRPr="0099161A">
        <w:rPr>
          <w:rFonts w:cstheme="minorHAnsi"/>
          <w:sz w:val="24"/>
          <w:szCs w:val="24"/>
        </w:rPr>
        <w:t xml:space="preserve">Reform of the current certification system. </w:t>
      </w:r>
    </w:p>
    <w:p w14:paraId="21F8D4DB" w14:textId="6DE601BB" w:rsidR="009578CC" w:rsidRPr="0099161A" w:rsidRDefault="00EA7E51" w:rsidP="009578CC">
      <w:pPr>
        <w:pStyle w:val="ListParagraph"/>
        <w:numPr>
          <w:ilvl w:val="0"/>
          <w:numId w:val="5"/>
        </w:numPr>
        <w:rPr>
          <w:rFonts w:cstheme="minorHAnsi"/>
          <w:sz w:val="24"/>
          <w:szCs w:val="24"/>
        </w:rPr>
      </w:pPr>
      <w:r w:rsidRPr="0099161A">
        <w:rPr>
          <w:rFonts w:cstheme="minorHAnsi"/>
          <w:sz w:val="24"/>
          <w:szCs w:val="24"/>
        </w:rPr>
        <w:t xml:space="preserve">A reassessment of current contracting priorities to enhance local effects. </w:t>
      </w:r>
      <w:r w:rsidR="009578CC" w:rsidRPr="0099161A">
        <w:rPr>
          <w:rFonts w:cstheme="minorHAnsi"/>
          <w:sz w:val="24"/>
          <w:szCs w:val="24"/>
        </w:rPr>
        <w:t xml:space="preserve"> </w:t>
      </w:r>
    </w:p>
    <w:p w14:paraId="15B61520" w14:textId="62268B52" w:rsidR="009578CC" w:rsidRPr="0099161A" w:rsidRDefault="009578CC" w:rsidP="009578CC">
      <w:pPr>
        <w:pStyle w:val="ListParagraph"/>
        <w:numPr>
          <w:ilvl w:val="0"/>
          <w:numId w:val="5"/>
        </w:numPr>
        <w:rPr>
          <w:rFonts w:cstheme="minorHAnsi"/>
          <w:sz w:val="24"/>
          <w:szCs w:val="24"/>
        </w:rPr>
      </w:pPr>
      <w:r w:rsidRPr="0099161A">
        <w:rPr>
          <w:rFonts w:cstheme="minorHAnsi"/>
          <w:sz w:val="24"/>
          <w:szCs w:val="24"/>
        </w:rPr>
        <w:t>Supply-chain tracing to address procurement/sourcing</w:t>
      </w:r>
      <w:r w:rsidR="00EA7E51" w:rsidRPr="0099161A">
        <w:rPr>
          <w:rFonts w:cstheme="minorHAnsi"/>
          <w:sz w:val="24"/>
          <w:szCs w:val="24"/>
        </w:rPr>
        <w:t xml:space="preserve"> issues</w:t>
      </w:r>
      <w:r w:rsidRPr="0099161A">
        <w:rPr>
          <w:rFonts w:cstheme="minorHAnsi"/>
          <w:sz w:val="24"/>
          <w:szCs w:val="24"/>
        </w:rPr>
        <w:t xml:space="preserve"> – combined with multi-disciplinary measurement of value creation and real emissions reductions.</w:t>
      </w:r>
    </w:p>
    <w:p w14:paraId="2803962A" w14:textId="0C2187B1" w:rsidR="00EA7E51" w:rsidRPr="0099161A" w:rsidRDefault="00EA7E51" w:rsidP="00EA7E51">
      <w:pPr>
        <w:rPr>
          <w:rFonts w:cstheme="minorHAnsi"/>
          <w:sz w:val="24"/>
          <w:szCs w:val="24"/>
        </w:rPr>
      </w:pPr>
      <w:r w:rsidRPr="0099161A">
        <w:rPr>
          <w:rFonts w:cstheme="minorHAnsi"/>
          <w:sz w:val="24"/>
          <w:szCs w:val="24"/>
        </w:rPr>
        <w:lastRenderedPageBreak/>
        <w:t xml:space="preserve">Current policy recognises skills and performance gaps, acknowledges growing demand for retrofitting, and places great emphasis on </w:t>
      </w:r>
      <w:r w:rsidR="009578CC" w:rsidRPr="0099161A">
        <w:rPr>
          <w:rFonts w:cstheme="minorHAnsi"/>
          <w:sz w:val="24"/>
          <w:szCs w:val="24"/>
        </w:rPr>
        <w:t xml:space="preserve">‘continuing professional development’, </w:t>
      </w:r>
      <w:r w:rsidRPr="0099161A">
        <w:rPr>
          <w:rFonts w:cstheme="minorHAnsi"/>
          <w:sz w:val="24"/>
          <w:szCs w:val="24"/>
        </w:rPr>
        <w:t xml:space="preserve">with the suggestion: </w:t>
      </w:r>
    </w:p>
    <w:p w14:paraId="23888479" w14:textId="49CC330A" w:rsidR="009578CC" w:rsidRPr="0099161A" w:rsidRDefault="00EA7E51" w:rsidP="00EA7E51">
      <w:pPr>
        <w:ind w:left="283"/>
        <w:rPr>
          <w:rFonts w:cstheme="minorHAnsi"/>
          <w:sz w:val="24"/>
          <w:szCs w:val="24"/>
        </w:rPr>
      </w:pPr>
      <w:r w:rsidRPr="0099161A">
        <w:rPr>
          <w:rFonts w:cstheme="minorHAnsi"/>
          <w:sz w:val="24"/>
          <w:szCs w:val="24"/>
        </w:rPr>
        <w:t>‘</w:t>
      </w:r>
      <w:r w:rsidR="009578CC" w:rsidRPr="0099161A">
        <w:rPr>
          <w:rFonts w:cstheme="minorHAnsi"/>
          <w:sz w:val="24"/>
          <w:szCs w:val="24"/>
        </w:rPr>
        <w:t>The number of home energy improvements and installations will help drive the availability of such courses and greater innovation in training delivery. A robust and thriving retrofit market should lead to a similarly strong training market with its own supply chain also prepared to invest in the actions that are needed.</w:t>
      </w:r>
      <w:r w:rsidRPr="0099161A">
        <w:rPr>
          <w:rFonts w:cstheme="minorHAnsi"/>
          <w:sz w:val="24"/>
          <w:szCs w:val="24"/>
        </w:rPr>
        <w:t>’</w:t>
      </w:r>
      <w:r w:rsidRPr="0099161A">
        <w:rPr>
          <w:rStyle w:val="FootnoteReference"/>
          <w:rFonts w:cstheme="minorHAnsi"/>
          <w:sz w:val="24"/>
          <w:szCs w:val="24"/>
        </w:rPr>
        <w:footnoteReference w:id="11"/>
      </w:r>
      <w:r w:rsidR="009578CC" w:rsidRPr="0099161A">
        <w:rPr>
          <w:rFonts w:cstheme="minorHAnsi"/>
          <w:sz w:val="24"/>
          <w:szCs w:val="24"/>
        </w:rPr>
        <w:t xml:space="preserve"> </w:t>
      </w:r>
    </w:p>
    <w:p w14:paraId="3821B000" w14:textId="12633E40" w:rsidR="009578CC" w:rsidRPr="0099161A" w:rsidRDefault="00EA7E51" w:rsidP="009578CC">
      <w:pPr>
        <w:rPr>
          <w:rFonts w:cstheme="minorHAnsi"/>
          <w:sz w:val="24"/>
          <w:szCs w:val="24"/>
        </w:rPr>
      </w:pPr>
      <w:r w:rsidRPr="0099161A">
        <w:rPr>
          <w:rFonts w:cstheme="minorHAnsi"/>
          <w:sz w:val="24"/>
          <w:szCs w:val="24"/>
        </w:rPr>
        <w:t>This</w:t>
      </w:r>
      <w:r w:rsidR="0053183E" w:rsidRPr="0099161A">
        <w:rPr>
          <w:rFonts w:cstheme="minorHAnsi"/>
          <w:sz w:val="24"/>
          <w:szCs w:val="24"/>
        </w:rPr>
        <w:t xml:space="preserve"> </w:t>
      </w:r>
      <w:r w:rsidRPr="0099161A">
        <w:rPr>
          <w:rFonts w:cstheme="minorHAnsi"/>
          <w:sz w:val="24"/>
          <w:szCs w:val="24"/>
        </w:rPr>
        <w:t xml:space="preserve">assumes </w:t>
      </w:r>
      <w:r w:rsidR="0053183E" w:rsidRPr="0099161A">
        <w:rPr>
          <w:rFonts w:cstheme="minorHAnsi"/>
          <w:sz w:val="24"/>
          <w:szCs w:val="24"/>
        </w:rPr>
        <w:t xml:space="preserve">that coherence will </w:t>
      </w:r>
      <w:r w:rsidRPr="0099161A">
        <w:rPr>
          <w:rFonts w:cstheme="minorHAnsi"/>
          <w:sz w:val="24"/>
          <w:szCs w:val="24"/>
        </w:rPr>
        <w:t>spontaneous</w:t>
      </w:r>
      <w:r w:rsidR="0053183E" w:rsidRPr="0099161A">
        <w:rPr>
          <w:rFonts w:cstheme="minorHAnsi"/>
          <w:sz w:val="24"/>
          <w:szCs w:val="24"/>
        </w:rPr>
        <w:t xml:space="preserve">ly emerge across several domains of action. </w:t>
      </w:r>
      <w:r w:rsidR="009578CC" w:rsidRPr="0099161A">
        <w:rPr>
          <w:rFonts w:cstheme="minorHAnsi"/>
          <w:sz w:val="24"/>
          <w:szCs w:val="24"/>
        </w:rPr>
        <w:t xml:space="preserve">Training in the skills required for mass retrofitting cannot </w:t>
      </w:r>
      <w:r w:rsidR="003B5EEF" w:rsidRPr="0099161A">
        <w:rPr>
          <w:rFonts w:cstheme="minorHAnsi"/>
          <w:sz w:val="24"/>
          <w:szCs w:val="24"/>
        </w:rPr>
        <w:t xml:space="preserve">realistically </w:t>
      </w:r>
      <w:r w:rsidR="009578CC" w:rsidRPr="0099161A">
        <w:rPr>
          <w:rFonts w:cstheme="minorHAnsi"/>
          <w:sz w:val="24"/>
          <w:szCs w:val="24"/>
        </w:rPr>
        <w:t xml:space="preserve">be undertaken by the small number of small firms already providing </w:t>
      </w:r>
      <w:r w:rsidR="0053183E" w:rsidRPr="0099161A">
        <w:rPr>
          <w:rFonts w:cstheme="minorHAnsi"/>
          <w:sz w:val="24"/>
          <w:szCs w:val="24"/>
        </w:rPr>
        <w:t xml:space="preserve">the training that is </w:t>
      </w:r>
      <w:r w:rsidR="009578CC" w:rsidRPr="0099161A">
        <w:rPr>
          <w:rFonts w:cstheme="minorHAnsi"/>
          <w:sz w:val="24"/>
          <w:szCs w:val="24"/>
        </w:rPr>
        <w:t>inadequate meet the standards required.</w:t>
      </w:r>
      <w:r w:rsidR="009578CC" w:rsidRPr="0099161A">
        <w:rPr>
          <w:rStyle w:val="FootnoteReference"/>
          <w:rFonts w:cstheme="minorHAnsi"/>
          <w:sz w:val="24"/>
          <w:szCs w:val="24"/>
        </w:rPr>
        <w:footnoteReference w:id="12"/>
      </w:r>
      <w:r w:rsidR="009578CC" w:rsidRPr="0099161A">
        <w:rPr>
          <w:rFonts w:cstheme="minorHAnsi"/>
          <w:sz w:val="24"/>
          <w:szCs w:val="24"/>
        </w:rPr>
        <w:t xml:space="preserve"> </w:t>
      </w:r>
      <w:proofErr w:type="gramStart"/>
      <w:r w:rsidRPr="0099161A">
        <w:rPr>
          <w:rFonts w:cstheme="minorHAnsi"/>
          <w:sz w:val="24"/>
          <w:szCs w:val="24"/>
        </w:rPr>
        <w:t>This risks</w:t>
      </w:r>
      <w:proofErr w:type="gramEnd"/>
      <w:r w:rsidRPr="0099161A">
        <w:rPr>
          <w:rFonts w:cstheme="minorHAnsi"/>
          <w:sz w:val="24"/>
          <w:szCs w:val="24"/>
        </w:rPr>
        <w:t xml:space="preserve"> perpetuating current problems. </w:t>
      </w:r>
      <w:r w:rsidR="009578CC" w:rsidRPr="0099161A">
        <w:rPr>
          <w:rFonts w:cstheme="minorHAnsi"/>
          <w:sz w:val="24"/>
          <w:szCs w:val="24"/>
        </w:rPr>
        <w:t>What is needed is</w:t>
      </w:r>
      <w:r w:rsidR="002F29C6" w:rsidRPr="0099161A">
        <w:rPr>
          <w:rFonts w:cstheme="minorHAnsi"/>
          <w:sz w:val="24"/>
          <w:szCs w:val="24"/>
        </w:rPr>
        <w:t xml:space="preserve"> a </w:t>
      </w:r>
      <w:r w:rsidR="00B130FD" w:rsidRPr="0099161A">
        <w:rPr>
          <w:rFonts w:cstheme="minorHAnsi"/>
          <w:sz w:val="24"/>
          <w:szCs w:val="24"/>
        </w:rPr>
        <w:t>scale</w:t>
      </w:r>
      <w:r w:rsidR="002F29C6" w:rsidRPr="0099161A">
        <w:rPr>
          <w:rFonts w:cstheme="minorHAnsi"/>
          <w:sz w:val="24"/>
          <w:szCs w:val="24"/>
        </w:rPr>
        <w:t>d approach to training delivery</w:t>
      </w:r>
      <w:r w:rsidR="00B130FD" w:rsidRPr="0099161A">
        <w:rPr>
          <w:rFonts w:cstheme="minorHAnsi"/>
          <w:sz w:val="24"/>
          <w:szCs w:val="24"/>
        </w:rPr>
        <w:t>, drawing on anchor institution expertise to</w:t>
      </w:r>
      <w:r w:rsidR="009578CC" w:rsidRPr="0099161A">
        <w:rPr>
          <w:rFonts w:cstheme="minorHAnsi"/>
          <w:sz w:val="24"/>
          <w:szCs w:val="24"/>
        </w:rPr>
        <w:t xml:space="preserve"> </w:t>
      </w:r>
      <w:r w:rsidR="002F29C6" w:rsidRPr="0099161A">
        <w:rPr>
          <w:rFonts w:cstheme="minorHAnsi"/>
          <w:sz w:val="24"/>
          <w:szCs w:val="24"/>
        </w:rPr>
        <w:t>develop programs</w:t>
      </w:r>
      <w:r w:rsidR="009578CC" w:rsidRPr="0099161A">
        <w:rPr>
          <w:rFonts w:cstheme="minorHAnsi"/>
          <w:sz w:val="24"/>
          <w:szCs w:val="24"/>
        </w:rPr>
        <w:t xml:space="preserve"> </w:t>
      </w:r>
      <w:r w:rsidR="002F29C6" w:rsidRPr="0099161A">
        <w:rPr>
          <w:rFonts w:cstheme="minorHAnsi"/>
          <w:sz w:val="24"/>
          <w:szCs w:val="24"/>
        </w:rPr>
        <w:t xml:space="preserve">that combine the </w:t>
      </w:r>
      <w:r w:rsidR="009578CC" w:rsidRPr="0099161A">
        <w:rPr>
          <w:rFonts w:cstheme="minorHAnsi"/>
          <w:sz w:val="24"/>
          <w:szCs w:val="24"/>
        </w:rPr>
        <w:t>best retrofitting techniques</w:t>
      </w:r>
      <w:r w:rsidR="002F29C6" w:rsidRPr="0099161A">
        <w:rPr>
          <w:rFonts w:cstheme="minorHAnsi"/>
          <w:sz w:val="24"/>
          <w:szCs w:val="24"/>
        </w:rPr>
        <w:t xml:space="preserve"> with other ‘</w:t>
      </w:r>
      <w:proofErr w:type="spellStart"/>
      <w:r w:rsidR="002F29C6" w:rsidRPr="0099161A">
        <w:rPr>
          <w:rFonts w:cstheme="minorHAnsi"/>
          <w:sz w:val="24"/>
          <w:szCs w:val="24"/>
        </w:rPr>
        <w:t>spillover</w:t>
      </w:r>
      <w:proofErr w:type="spellEnd"/>
      <w:r w:rsidR="002F29C6" w:rsidRPr="0099161A">
        <w:rPr>
          <w:rFonts w:cstheme="minorHAnsi"/>
          <w:sz w:val="24"/>
          <w:szCs w:val="24"/>
        </w:rPr>
        <w:t>-ready’ skillsets for the green economy</w:t>
      </w:r>
      <w:r w:rsidR="009578CC" w:rsidRPr="0099161A">
        <w:rPr>
          <w:rFonts w:cstheme="minorHAnsi"/>
          <w:sz w:val="24"/>
          <w:szCs w:val="24"/>
        </w:rPr>
        <w:t xml:space="preserve">. </w:t>
      </w:r>
      <w:r w:rsidR="00C10DA5" w:rsidRPr="0099161A">
        <w:rPr>
          <w:rFonts w:cstheme="minorHAnsi"/>
          <w:sz w:val="24"/>
          <w:szCs w:val="24"/>
        </w:rPr>
        <w:t xml:space="preserve">Government’s proposed </w:t>
      </w:r>
      <w:r w:rsidR="00682D1B" w:rsidRPr="0099161A">
        <w:rPr>
          <w:rFonts w:eastAsia="Times New Roman" w:cstheme="minorHAnsi"/>
          <w:color w:val="222222"/>
          <w:sz w:val="24"/>
          <w:szCs w:val="24"/>
          <w:shd w:val="clear" w:color="auto" w:fill="FFFFFF"/>
          <w:lang w:eastAsia="en-GB"/>
        </w:rPr>
        <w:t>£</w:t>
      </w:r>
      <w:r w:rsidR="00C10DA5" w:rsidRPr="0099161A">
        <w:rPr>
          <w:rFonts w:cstheme="minorHAnsi"/>
          <w:sz w:val="24"/>
          <w:szCs w:val="24"/>
        </w:rPr>
        <w:t>2.5 billion National Skills Fund may provide much-needed resources and s</w:t>
      </w:r>
      <w:r w:rsidR="00B130FD" w:rsidRPr="0099161A">
        <w:rPr>
          <w:rFonts w:cstheme="minorHAnsi"/>
          <w:sz w:val="24"/>
          <w:szCs w:val="24"/>
        </w:rPr>
        <w:t>chools</w:t>
      </w:r>
      <w:r w:rsidR="009578CC" w:rsidRPr="0099161A">
        <w:rPr>
          <w:rFonts w:cstheme="minorHAnsi"/>
          <w:sz w:val="24"/>
          <w:szCs w:val="24"/>
        </w:rPr>
        <w:t>, further education colleges and universities</w:t>
      </w:r>
      <w:r w:rsidR="00B130FD" w:rsidRPr="0099161A">
        <w:rPr>
          <w:rFonts w:cstheme="minorHAnsi"/>
          <w:sz w:val="24"/>
          <w:szCs w:val="24"/>
        </w:rPr>
        <w:t xml:space="preserve"> can fill </w:t>
      </w:r>
      <w:r w:rsidR="00C10DA5" w:rsidRPr="0099161A">
        <w:rPr>
          <w:rFonts w:cstheme="minorHAnsi"/>
          <w:sz w:val="24"/>
          <w:szCs w:val="24"/>
        </w:rPr>
        <w:t>g</w:t>
      </w:r>
      <w:r w:rsidR="00B130FD" w:rsidRPr="0099161A">
        <w:rPr>
          <w:rFonts w:cstheme="minorHAnsi"/>
          <w:sz w:val="24"/>
          <w:szCs w:val="24"/>
        </w:rPr>
        <w:t>ap</w:t>
      </w:r>
      <w:r w:rsidR="00C10DA5" w:rsidRPr="0099161A">
        <w:rPr>
          <w:rFonts w:cstheme="minorHAnsi"/>
          <w:sz w:val="24"/>
          <w:szCs w:val="24"/>
        </w:rPr>
        <w:t>s</w:t>
      </w:r>
      <w:r w:rsidR="001F5687" w:rsidRPr="0099161A">
        <w:rPr>
          <w:rFonts w:cstheme="minorHAnsi"/>
          <w:sz w:val="24"/>
          <w:szCs w:val="24"/>
        </w:rPr>
        <w:t>, acting as hubs f</w:t>
      </w:r>
      <w:r w:rsidR="002F29C6" w:rsidRPr="0099161A">
        <w:rPr>
          <w:rFonts w:cstheme="minorHAnsi"/>
          <w:sz w:val="24"/>
          <w:szCs w:val="24"/>
        </w:rPr>
        <w:t>or</w:t>
      </w:r>
      <w:r w:rsidR="001F5687" w:rsidRPr="0099161A">
        <w:rPr>
          <w:rFonts w:cstheme="minorHAnsi"/>
          <w:sz w:val="24"/>
          <w:szCs w:val="24"/>
        </w:rPr>
        <w:t xml:space="preserve"> training and the development of techniques required to meet the challenges of </w:t>
      </w:r>
      <w:r w:rsidR="003B5EEF" w:rsidRPr="0099161A">
        <w:rPr>
          <w:rFonts w:cstheme="minorHAnsi"/>
          <w:sz w:val="24"/>
          <w:szCs w:val="24"/>
        </w:rPr>
        <w:t xml:space="preserve">net zero by </w:t>
      </w:r>
      <w:r w:rsidR="001F5687" w:rsidRPr="0099161A">
        <w:rPr>
          <w:rFonts w:cstheme="minorHAnsi"/>
          <w:sz w:val="24"/>
          <w:szCs w:val="24"/>
        </w:rPr>
        <w:t>2038</w:t>
      </w:r>
      <w:r w:rsidR="009578CC" w:rsidRPr="0099161A">
        <w:rPr>
          <w:rFonts w:cstheme="minorHAnsi"/>
          <w:sz w:val="24"/>
          <w:szCs w:val="24"/>
        </w:rPr>
        <w:t>.</w:t>
      </w:r>
      <w:r w:rsidR="009578CC" w:rsidRPr="0099161A">
        <w:rPr>
          <w:rStyle w:val="FootnoteReference"/>
          <w:rFonts w:cstheme="minorHAnsi"/>
          <w:sz w:val="24"/>
          <w:szCs w:val="24"/>
        </w:rPr>
        <w:footnoteReference w:id="13"/>
      </w:r>
      <w:r w:rsidR="009578CC" w:rsidRPr="0099161A">
        <w:rPr>
          <w:rFonts w:cstheme="minorHAnsi"/>
          <w:sz w:val="24"/>
          <w:szCs w:val="24"/>
        </w:rPr>
        <w:t xml:space="preserve"> A place</w:t>
      </w:r>
      <w:r w:rsidR="002F29C6" w:rsidRPr="0099161A">
        <w:rPr>
          <w:rFonts w:cstheme="minorHAnsi"/>
          <w:sz w:val="24"/>
          <w:szCs w:val="24"/>
        </w:rPr>
        <w:t>-</w:t>
      </w:r>
      <w:r w:rsidR="009578CC" w:rsidRPr="0099161A">
        <w:rPr>
          <w:rFonts w:cstheme="minorHAnsi"/>
          <w:sz w:val="24"/>
          <w:szCs w:val="24"/>
        </w:rPr>
        <w:t>based approach would recognise th</w:t>
      </w:r>
      <w:r w:rsidR="001F5687" w:rsidRPr="0099161A">
        <w:rPr>
          <w:rFonts w:cstheme="minorHAnsi"/>
          <w:sz w:val="24"/>
          <w:szCs w:val="24"/>
        </w:rPr>
        <w:t>e</w:t>
      </w:r>
      <w:r w:rsidR="009578CC" w:rsidRPr="0099161A">
        <w:rPr>
          <w:rFonts w:cstheme="minorHAnsi"/>
          <w:sz w:val="24"/>
          <w:szCs w:val="24"/>
        </w:rPr>
        <w:t xml:space="preserve"> advantages</w:t>
      </w:r>
      <w:r w:rsidR="001F5687" w:rsidRPr="0099161A">
        <w:rPr>
          <w:rFonts w:cstheme="minorHAnsi"/>
          <w:sz w:val="24"/>
          <w:szCs w:val="24"/>
        </w:rPr>
        <w:t xml:space="preserve"> and synergies this represents</w:t>
      </w:r>
      <w:r w:rsidR="009578CC" w:rsidRPr="0099161A">
        <w:rPr>
          <w:rFonts w:cstheme="minorHAnsi"/>
          <w:sz w:val="24"/>
          <w:szCs w:val="24"/>
        </w:rPr>
        <w:t>.</w:t>
      </w:r>
    </w:p>
    <w:p w14:paraId="0024BEED" w14:textId="77777777" w:rsidR="009234EC" w:rsidRPr="0099161A" w:rsidRDefault="00FA0C4D" w:rsidP="00FA0C4D">
      <w:pPr>
        <w:rPr>
          <w:rFonts w:cstheme="minorHAnsi"/>
          <w:sz w:val="24"/>
          <w:szCs w:val="24"/>
        </w:rPr>
      </w:pPr>
      <w:r w:rsidRPr="0099161A">
        <w:rPr>
          <w:rFonts w:cstheme="minorHAnsi"/>
          <w:sz w:val="24"/>
          <w:szCs w:val="24"/>
        </w:rPr>
        <w:t xml:space="preserve">Bridging strategies are also important. </w:t>
      </w:r>
      <w:r w:rsidR="00573B79" w:rsidRPr="0099161A">
        <w:rPr>
          <w:rFonts w:cstheme="minorHAnsi"/>
          <w:sz w:val="24"/>
          <w:szCs w:val="24"/>
        </w:rPr>
        <w:t xml:space="preserve">Over the last two decades, </w:t>
      </w:r>
      <w:r w:rsidRPr="0099161A">
        <w:rPr>
          <w:rFonts w:cstheme="minorHAnsi"/>
          <w:sz w:val="24"/>
          <w:szCs w:val="24"/>
        </w:rPr>
        <w:t xml:space="preserve">government </w:t>
      </w:r>
      <w:r w:rsidR="00882D65" w:rsidRPr="0099161A">
        <w:rPr>
          <w:rFonts w:cstheme="minorHAnsi"/>
          <w:sz w:val="24"/>
          <w:szCs w:val="24"/>
        </w:rPr>
        <w:t xml:space="preserve">policies have sought to achieve </w:t>
      </w:r>
      <w:r w:rsidR="00F7514B" w:rsidRPr="0099161A">
        <w:rPr>
          <w:rFonts w:cstheme="minorHAnsi"/>
          <w:sz w:val="24"/>
          <w:szCs w:val="24"/>
        </w:rPr>
        <w:t xml:space="preserve">uptake </w:t>
      </w:r>
      <w:r w:rsidR="00882D65" w:rsidRPr="0099161A">
        <w:rPr>
          <w:rFonts w:cstheme="minorHAnsi"/>
          <w:sz w:val="24"/>
          <w:szCs w:val="24"/>
        </w:rPr>
        <w:t xml:space="preserve">in </w:t>
      </w:r>
      <w:r w:rsidR="00F7514B" w:rsidRPr="0099161A">
        <w:rPr>
          <w:rFonts w:cstheme="minorHAnsi"/>
          <w:sz w:val="24"/>
          <w:szCs w:val="24"/>
        </w:rPr>
        <w:t xml:space="preserve">available funding </w:t>
      </w:r>
      <w:r w:rsidR="00882D65" w:rsidRPr="0099161A">
        <w:rPr>
          <w:rFonts w:cstheme="minorHAnsi"/>
          <w:sz w:val="24"/>
          <w:szCs w:val="24"/>
        </w:rPr>
        <w:t xml:space="preserve">by appealing to individuals making </w:t>
      </w:r>
      <w:r w:rsidRPr="0099161A">
        <w:rPr>
          <w:rFonts w:cstheme="minorHAnsi"/>
          <w:sz w:val="24"/>
          <w:szCs w:val="24"/>
        </w:rPr>
        <w:t>‘rational choice</w:t>
      </w:r>
      <w:r w:rsidR="00F7514B" w:rsidRPr="0099161A">
        <w:rPr>
          <w:rFonts w:cstheme="minorHAnsi"/>
          <w:sz w:val="24"/>
          <w:szCs w:val="24"/>
        </w:rPr>
        <w:t>s</w:t>
      </w:r>
      <w:r w:rsidRPr="0099161A">
        <w:rPr>
          <w:rFonts w:cstheme="minorHAnsi"/>
          <w:sz w:val="24"/>
          <w:szCs w:val="24"/>
        </w:rPr>
        <w:t>’</w:t>
      </w:r>
      <w:r w:rsidR="00882D65" w:rsidRPr="0099161A">
        <w:rPr>
          <w:rFonts w:cstheme="minorHAnsi"/>
          <w:sz w:val="24"/>
          <w:szCs w:val="24"/>
        </w:rPr>
        <w:t xml:space="preserve">, sometimes </w:t>
      </w:r>
      <w:r w:rsidR="00F7514B" w:rsidRPr="0099161A">
        <w:rPr>
          <w:rFonts w:cstheme="minorHAnsi"/>
          <w:sz w:val="24"/>
          <w:szCs w:val="24"/>
        </w:rPr>
        <w:t xml:space="preserve">augmented by </w:t>
      </w:r>
      <w:r w:rsidR="00A70138" w:rsidRPr="0099161A">
        <w:rPr>
          <w:rFonts w:cstheme="minorHAnsi"/>
          <w:sz w:val="24"/>
          <w:szCs w:val="24"/>
        </w:rPr>
        <w:t>‘</w:t>
      </w:r>
      <w:r w:rsidR="00F7514B" w:rsidRPr="0099161A">
        <w:rPr>
          <w:rFonts w:cstheme="minorHAnsi"/>
          <w:sz w:val="24"/>
          <w:szCs w:val="24"/>
        </w:rPr>
        <w:t>nudge</w:t>
      </w:r>
      <w:r w:rsidR="00A70138" w:rsidRPr="0099161A">
        <w:rPr>
          <w:rFonts w:cstheme="minorHAnsi"/>
          <w:sz w:val="24"/>
          <w:szCs w:val="24"/>
        </w:rPr>
        <w:t>’</w:t>
      </w:r>
      <w:r w:rsidR="00F7514B" w:rsidRPr="0099161A">
        <w:rPr>
          <w:rFonts w:cstheme="minorHAnsi"/>
          <w:sz w:val="24"/>
          <w:szCs w:val="24"/>
        </w:rPr>
        <w:t xml:space="preserve"> behavioural inducements. </w:t>
      </w:r>
      <w:r w:rsidR="00882D65" w:rsidRPr="0099161A">
        <w:rPr>
          <w:rFonts w:cstheme="minorHAnsi"/>
          <w:sz w:val="24"/>
          <w:szCs w:val="24"/>
        </w:rPr>
        <w:t>Whether this approach applies to th</w:t>
      </w:r>
      <w:r w:rsidR="00F7514B" w:rsidRPr="0099161A">
        <w:rPr>
          <w:rFonts w:cstheme="minorHAnsi"/>
          <w:sz w:val="24"/>
          <w:szCs w:val="24"/>
        </w:rPr>
        <w:t>e decision to</w:t>
      </w:r>
      <w:r w:rsidRPr="0099161A">
        <w:rPr>
          <w:rFonts w:cstheme="minorHAnsi"/>
          <w:sz w:val="24"/>
          <w:szCs w:val="24"/>
        </w:rPr>
        <w:t xml:space="preserve"> </w:t>
      </w:r>
      <w:r w:rsidR="00F7514B" w:rsidRPr="0099161A">
        <w:rPr>
          <w:rFonts w:cstheme="minorHAnsi"/>
          <w:sz w:val="24"/>
          <w:szCs w:val="24"/>
        </w:rPr>
        <w:t>‘</w:t>
      </w:r>
      <w:r w:rsidRPr="0099161A">
        <w:rPr>
          <w:rFonts w:cstheme="minorHAnsi"/>
          <w:sz w:val="24"/>
          <w:szCs w:val="24"/>
        </w:rPr>
        <w:t>invest</w:t>
      </w:r>
      <w:r w:rsidR="00F7514B" w:rsidRPr="0099161A">
        <w:rPr>
          <w:rFonts w:cstheme="minorHAnsi"/>
          <w:sz w:val="24"/>
          <w:szCs w:val="24"/>
        </w:rPr>
        <w:t>’</w:t>
      </w:r>
      <w:r w:rsidRPr="0099161A">
        <w:rPr>
          <w:rFonts w:cstheme="minorHAnsi"/>
          <w:sz w:val="24"/>
          <w:szCs w:val="24"/>
        </w:rPr>
        <w:t xml:space="preserve"> in insulation and other retrofitting measures</w:t>
      </w:r>
      <w:r w:rsidR="00882D65" w:rsidRPr="0099161A">
        <w:rPr>
          <w:rFonts w:cstheme="minorHAnsi"/>
          <w:sz w:val="24"/>
          <w:szCs w:val="24"/>
        </w:rPr>
        <w:t xml:space="preserve"> is unclear</w:t>
      </w:r>
      <w:r w:rsidRPr="0099161A">
        <w:rPr>
          <w:rFonts w:cstheme="minorHAnsi"/>
          <w:sz w:val="24"/>
          <w:szCs w:val="24"/>
        </w:rPr>
        <w:t xml:space="preserve">. </w:t>
      </w:r>
      <w:r w:rsidR="00882D65" w:rsidRPr="0099161A">
        <w:rPr>
          <w:rFonts w:cstheme="minorHAnsi"/>
          <w:sz w:val="24"/>
          <w:szCs w:val="24"/>
        </w:rPr>
        <w:t xml:space="preserve">Since </w:t>
      </w:r>
      <w:r w:rsidR="00573B79" w:rsidRPr="0099161A">
        <w:rPr>
          <w:rFonts w:cstheme="minorHAnsi"/>
          <w:sz w:val="24"/>
          <w:szCs w:val="24"/>
        </w:rPr>
        <w:t>install</w:t>
      </w:r>
      <w:r w:rsidR="004F768B" w:rsidRPr="0099161A">
        <w:rPr>
          <w:rFonts w:cstheme="minorHAnsi"/>
          <w:sz w:val="24"/>
          <w:szCs w:val="24"/>
        </w:rPr>
        <w:t>ing</w:t>
      </w:r>
      <w:r w:rsidR="00573B79" w:rsidRPr="0099161A">
        <w:rPr>
          <w:rFonts w:cstheme="minorHAnsi"/>
          <w:sz w:val="24"/>
          <w:szCs w:val="24"/>
        </w:rPr>
        <w:t xml:space="preserve"> energy saving insulation in homes can save </w:t>
      </w:r>
      <w:r w:rsidR="00882D65" w:rsidRPr="0099161A">
        <w:rPr>
          <w:rFonts w:cstheme="minorHAnsi"/>
          <w:sz w:val="24"/>
          <w:szCs w:val="24"/>
        </w:rPr>
        <w:t>a considerabl</w:t>
      </w:r>
      <w:r w:rsidR="00573B79" w:rsidRPr="0099161A">
        <w:rPr>
          <w:rFonts w:cstheme="minorHAnsi"/>
          <w:sz w:val="24"/>
          <w:szCs w:val="24"/>
        </w:rPr>
        <w:t>e sum over the long term</w:t>
      </w:r>
      <w:r w:rsidR="00882D65" w:rsidRPr="0099161A">
        <w:rPr>
          <w:rFonts w:cstheme="minorHAnsi"/>
          <w:sz w:val="24"/>
          <w:szCs w:val="24"/>
        </w:rPr>
        <w:t xml:space="preserve">, </w:t>
      </w:r>
      <w:r w:rsidR="00573B79" w:rsidRPr="0099161A">
        <w:rPr>
          <w:rFonts w:cstheme="minorHAnsi"/>
          <w:sz w:val="24"/>
          <w:szCs w:val="24"/>
        </w:rPr>
        <w:t>the government-sponsored Green Deal programme encouraged households to use an ‘Energy Efficiency Calculator’</w:t>
      </w:r>
      <w:r w:rsidR="00573B79" w:rsidRPr="0099161A">
        <w:rPr>
          <w:rStyle w:val="FootnoteReference"/>
          <w:rFonts w:cstheme="minorHAnsi"/>
          <w:sz w:val="24"/>
          <w:szCs w:val="24"/>
        </w:rPr>
        <w:footnoteReference w:id="14"/>
      </w:r>
      <w:r w:rsidR="00A70138" w:rsidRPr="0099161A">
        <w:rPr>
          <w:rFonts w:cstheme="minorHAnsi"/>
          <w:sz w:val="24"/>
          <w:szCs w:val="24"/>
        </w:rPr>
        <w:t>, which sets out how the</w:t>
      </w:r>
      <w:r w:rsidR="00573B79" w:rsidRPr="0099161A">
        <w:rPr>
          <w:rFonts w:cstheme="minorHAnsi"/>
          <w:sz w:val="24"/>
          <w:szCs w:val="24"/>
        </w:rPr>
        <w:t xml:space="preserve"> </w:t>
      </w:r>
      <w:r w:rsidR="00A70138" w:rsidRPr="0099161A">
        <w:rPr>
          <w:rFonts w:cstheme="minorHAnsi"/>
          <w:sz w:val="24"/>
          <w:szCs w:val="24"/>
        </w:rPr>
        <w:t>‘</w:t>
      </w:r>
      <w:r w:rsidR="00573B79" w:rsidRPr="0099161A">
        <w:rPr>
          <w:rFonts w:cstheme="minorHAnsi"/>
          <w:sz w:val="24"/>
          <w:szCs w:val="24"/>
        </w:rPr>
        <w:t>investment</w:t>
      </w:r>
      <w:r w:rsidR="00A70138" w:rsidRPr="0099161A">
        <w:rPr>
          <w:rFonts w:cstheme="minorHAnsi"/>
          <w:sz w:val="24"/>
          <w:szCs w:val="24"/>
        </w:rPr>
        <w:t>’</w:t>
      </w:r>
      <w:r w:rsidR="00573B79" w:rsidRPr="0099161A">
        <w:rPr>
          <w:rFonts w:cstheme="minorHAnsi"/>
          <w:sz w:val="24"/>
          <w:szCs w:val="24"/>
        </w:rPr>
        <w:t xml:space="preserve"> by</w:t>
      </w:r>
      <w:r w:rsidR="00A70138" w:rsidRPr="0099161A">
        <w:rPr>
          <w:rFonts w:cstheme="minorHAnsi"/>
          <w:sz w:val="24"/>
          <w:szCs w:val="24"/>
        </w:rPr>
        <w:t xml:space="preserve"> a</w:t>
      </w:r>
      <w:r w:rsidR="00573B79" w:rsidRPr="0099161A">
        <w:rPr>
          <w:rFonts w:cstheme="minorHAnsi"/>
          <w:sz w:val="24"/>
          <w:szCs w:val="24"/>
        </w:rPr>
        <w:t xml:space="preserve"> household in energy saving measures will be more than returned within a </w:t>
      </w:r>
      <w:r w:rsidR="00D05BD2" w:rsidRPr="0099161A">
        <w:rPr>
          <w:rFonts w:cstheme="minorHAnsi"/>
          <w:sz w:val="24"/>
          <w:szCs w:val="24"/>
        </w:rPr>
        <w:t>few</w:t>
      </w:r>
      <w:r w:rsidR="00573B79" w:rsidRPr="0099161A">
        <w:rPr>
          <w:rFonts w:cstheme="minorHAnsi"/>
          <w:sz w:val="24"/>
          <w:szCs w:val="24"/>
        </w:rPr>
        <w:t xml:space="preserve"> years.</w:t>
      </w:r>
      <w:r w:rsidR="00A70138" w:rsidRPr="0099161A">
        <w:rPr>
          <w:rFonts w:cstheme="minorHAnsi"/>
          <w:sz w:val="24"/>
          <w:szCs w:val="24"/>
        </w:rPr>
        <w:t xml:space="preserve"> But this places responsibility on the individual household to seek out information, explore the possibility and make an isolated decision with upfront costs. </w:t>
      </w:r>
      <w:r w:rsidR="00D05BD2" w:rsidRPr="0099161A">
        <w:rPr>
          <w:rFonts w:cstheme="minorHAnsi"/>
          <w:sz w:val="24"/>
          <w:szCs w:val="24"/>
        </w:rPr>
        <w:t>Yet</w:t>
      </w:r>
      <w:r w:rsidR="00A70138" w:rsidRPr="0099161A">
        <w:rPr>
          <w:rFonts w:cstheme="minorHAnsi"/>
          <w:sz w:val="24"/>
          <w:szCs w:val="24"/>
        </w:rPr>
        <w:t xml:space="preserve"> it is areas with </w:t>
      </w:r>
      <w:r w:rsidR="00F7514B" w:rsidRPr="0099161A">
        <w:rPr>
          <w:rFonts w:cstheme="minorHAnsi"/>
          <w:sz w:val="24"/>
          <w:szCs w:val="24"/>
        </w:rPr>
        <w:t>older hou</w:t>
      </w:r>
      <w:r w:rsidR="00573B79" w:rsidRPr="0099161A">
        <w:rPr>
          <w:rFonts w:cstheme="minorHAnsi"/>
          <w:sz w:val="24"/>
          <w:szCs w:val="24"/>
        </w:rPr>
        <w:t>s</w:t>
      </w:r>
      <w:r w:rsidR="00F7514B" w:rsidRPr="0099161A">
        <w:rPr>
          <w:rFonts w:cstheme="minorHAnsi"/>
          <w:sz w:val="24"/>
          <w:szCs w:val="24"/>
        </w:rPr>
        <w:t>ing stock</w:t>
      </w:r>
      <w:r w:rsidR="00573B79" w:rsidRPr="0099161A">
        <w:rPr>
          <w:rFonts w:cstheme="minorHAnsi"/>
          <w:sz w:val="24"/>
          <w:szCs w:val="24"/>
        </w:rPr>
        <w:t xml:space="preserve">, areas of deprivation, unemployment and debt-dependence that are least likely to access funding on an individual level and most likely to benefit from it (to the benefit of all in terms of carbon budget targets). </w:t>
      </w:r>
    </w:p>
    <w:p w14:paraId="274E6A5B" w14:textId="71C07A67" w:rsidR="00FA0C4D" w:rsidRPr="0099161A" w:rsidRDefault="00573B79" w:rsidP="00FA0C4D">
      <w:pPr>
        <w:rPr>
          <w:rFonts w:cstheme="minorHAnsi"/>
          <w:sz w:val="24"/>
          <w:szCs w:val="24"/>
        </w:rPr>
      </w:pPr>
      <w:r w:rsidRPr="0099161A">
        <w:rPr>
          <w:rFonts w:cstheme="minorHAnsi"/>
          <w:sz w:val="24"/>
          <w:szCs w:val="24"/>
        </w:rPr>
        <w:t xml:space="preserve">The </w:t>
      </w:r>
      <w:r w:rsidR="00A70138" w:rsidRPr="0099161A">
        <w:rPr>
          <w:rFonts w:cstheme="minorHAnsi"/>
          <w:sz w:val="24"/>
          <w:szCs w:val="24"/>
        </w:rPr>
        <w:t>G</w:t>
      </w:r>
      <w:r w:rsidRPr="0099161A">
        <w:rPr>
          <w:rFonts w:cstheme="minorHAnsi"/>
          <w:sz w:val="24"/>
          <w:szCs w:val="24"/>
        </w:rPr>
        <w:t xml:space="preserve">reen </w:t>
      </w:r>
      <w:r w:rsidR="00A70138" w:rsidRPr="0099161A">
        <w:rPr>
          <w:rFonts w:cstheme="minorHAnsi"/>
          <w:sz w:val="24"/>
          <w:szCs w:val="24"/>
        </w:rPr>
        <w:t>D</w:t>
      </w:r>
      <w:r w:rsidRPr="0099161A">
        <w:rPr>
          <w:rFonts w:cstheme="minorHAnsi"/>
          <w:sz w:val="24"/>
          <w:szCs w:val="24"/>
        </w:rPr>
        <w:t xml:space="preserve">eal offered </w:t>
      </w:r>
      <w:r w:rsidR="00FA0C4D" w:rsidRPr="0099161A">
        <w:rPr>
          <w:rFonts w:cstheme="minorHAnsi"/>
          <w:sz w:val="24"/>
          <w:szCs w:val="24"/>
        </w:rPr>
        <w:t xml:space="preserve">limited grants to some </w:t>
      </w:r>
      <w:proofErr w:type="gramStart"/>
      <w:r w:rsidR="00FA0C4D" w:rsidRPr="0099161A">
        <w:rPr>
          <w:rFonts w:cstheme="minorHAnsi"/>
          <w:sz w:val="24"/>
          <w:szCs w:val="24"/>
        </w:rPr>
        <w:t>households, a</w:t>
      </w:r>
      <w:r w:rsidRPr="0099161A">
        <w:rPr>
          <w:rFonts w:cstheme="minorHAnsi"/>
          <w:sz w:val="24"/>
          <w:szCs w:val="24"/>
        </w:rPr>
        <w:t>nd</w:t>
      </w:r>
      <w:proofErr w:type="gramEnd"/>
      <w:r w:rsidRPr="0099161A">
        <w:rPr>
          <w:rFonts w:cstheme="minorHAnsi"/>
          <w:sz w:val="24"/>
          <w:szCs w:val="24"/>
        </w:rPr>
        <w:t xml:space="preserve"> assumed a loan system would encourage uptake. This did not occur as expected</w:t>
      </w:r>
      <w:r w:rsidR="00A70138" w:rsidRPr="0099161A">
        <w:rPr>
          <w:rFonts w:cstheme="minorHAnsi"/>
          <w:sz w:val="24"/>
          <w:szCs w:val="24"/>
        </w:rPr>
        <w:t xml:space="preserve"> because it did not fully consider how to appropriately engage the public to ensure best possible outcomes</w:t>
      </w:r>
      <w:r w:rsidRPr="0099161A">
        <w:rPr>
          <w:rFonts w:cstheme="minorHAnsi"/>
          <w:sz w:val="24"/>
          <w:szCs w:val="24"/>
        </w:rPr>
        <w:t>.</w:t>
      </w:r>
      <w:r w:rsidRPr="0099161A">
        <w:rPr>
          <w:rStyle w:val="FootnoteReference"/>
          <w:rFonts w:cstheme="minorHAnsi"/>
          <w:sz w:val="24"/>
          <w:szCs w:val="24"/>
        </w:rPr>
        <w:footnoteReference w:id="15"/>
      </w:r>
      <w:r w:rsidRPr="0099161A">
        <w:rPr>
          <w:rFonts w:cstheme="minorHAnsi"/>
          <w:sz w:val="24"/>
          <w:szCs w:val="24"/>
        </w:rPr>
        <w:t xml:space="preserve"> </w:t>
      </w:r>
      <w:r w:rsidR="00D05BD2" w:rsidRPr="0099161A">
        <w:rPr>
          <w:rFonts w:cstheme="minorHAnsi"/>
          <w:sz w:val="24"/>
          <w:szCs w:val="24"/>
        </w:rPr>
        <w:t>Moreover, it seems even more unlikely in current</w:t>
      </w:r>
      <w:r w:rsidR="00CD4F24" w:rsidRPr="0099161A">
        <w:rPr>
          <w:rFonts w:cstheme="minorHAnsi"/>
          <w:sz w:val="24"/>
          <w:szCs w:val="24"/>
        </w:rPr>
        <w:t xml:space="preserve"> circumstances</w:t>
      </w:r>
      <w:r w:rsidR="00D05BD2" w:rsidRPr="0099161A">
        <w:rPr>
          <w:rFonts w:cstheme="minorHAnsi"/>
          <w:sz w:val="24"/>
          <w:szCs w:val="24"/>
        </w:rPr>
        <w:t xml:space="preserve"> that individual households will want to </w:t>
      </w:r>
      <w:r w:rsidR="00D05BD2" w:rsidRPr="0099161A">
        <w:rPr>
          <w:rFonts w:cstheme="minorHAnsi"/>
          <w:sz w:val="24"/>
          <w:szCs w:val="24"/>
        </w:rPr>
        <w:lastRenderedPageBreak/>
        <w:t>or feel they can afford to undertake this kind of ‘investment’. There is, therefore, a clear</w:t>
      </w:r>
      <w:r w:rsidR="00F37FEE" w:rsidRPr="0099161A">
        <w:rPr>
          <w:rFonts w:cstheme="minorHAnsi"/>
          <w:sz w:val="24"/>
          <w:szCs w:val="24"/>
        </w:rPr>
        <w:t xml:space="preserve"> </w:t>
      </w:r>
      <w:r w:rsidR="00D05BD2" w:rsidRPr="0099161A">
        <w:rPr>
          <w:rFonts w:cstheme="minorHAnsi"/>
          <w:sz w:val="24"/>
          <w:szCs w:val="24"/>
        </w:rPr>
        <w:t xml:space="preserve">mismatch between </w:t>
      </w:r>
      <w:r w:rsidR="00F37FEE" w:rsidRPr="0099161A">
        <w:rPr>
          <w:rFonts w:cstheme="minorHAnsi"/>
          <w:sz w:val="24"/>
          <w:szCs w:val="24"/>
        </w:rPr>
        <w:t xml:space="preserve">unsupported </w:t>
      </w:r>
      <w:r w:rsidR="00D05BD2" w:rsidRPr="0099161A">
        <w:rPr>
          <w:rFonts w:cstheme="minorHAnsi"/>
          <w:sz w:val="24"/>
          <w:szCs w:val="24"/>
        </w:rPr>
        <w:t>beh</w:t>
      </w:r>
      <w:r w:rsidR="00F37FEE" w:rsidRPr="0099161A">
        <w:rPr>
          <w:rFonts w:cstheme="minorHAnsi"/>
          <w:sz w:val="24"/>
          <w:szCs w:val="24"/>
        </w:rPr>
        <w:t>av</w:t>
      </w:r>
      <w:r w:rsidR="00D05BD2" w:rsidRPr="0099161A">
        <w:rPr>
          <w:rFonts w:cstheme="minorHAnsi"/>
          <w:sz w:val="24"/>
          <w:szCs w:val="24"/>
        </w:rPr>
        <w:t>iour</w:t>
      </w:r>
      <w:r w:rsidR="00F37FEE" w:rsidRPr="0099161A">
        <w:rPr>
          <w:rFonts w:cstheme="minorHAnsi"/>
          <w:sz w:val="24"/>
          <w:szCs w:val="24"/>
        </w:rPr>
        <w:t xml:space="preserve"> (the isolated individual household)</w:t>
      </w:r>
      <w:r w:rsidR="00D05BD2" w:rsidRPr="0099161A">
        <w:rPr>
          <w:rFonts w:cstheme="minorHAnsi"/>
          <w:sz w:val="24"/>
          <w:szCs w:val="24"/>
        </w:rPr>
        <w:t xml:space="preserve">, financing and broader collective </w:t>
      </w:r>
      <w:r w:rsidR="00F37FEE" w:rsidRPr="0099161A">
        <w:rPr>
          <w:rFonts w:cstheme="minorHAnsi"/>
          <w:sz w:val="24"/>
          <w:szCs w:val="24"/>
        </w:rPr>
        <w:t>social and economic goal achievement.</w:t>
      </w:r>
      <w:r w:rsidR="00D05BD2" w:rsidRPr="0099161A">
        <w:rPr>
          <w:rFonts w:cstheme="minorHAnsi"/>
          <w:sz w:val="24"/>
          <w:szCs w:val="24"/>
        </w:rPr>
        <w:t xml:space="preserve">      </w:t>
      </w:r>
      <w:r w:rsidR="00FA0C4D" w:rsidRPr="0099161A">
        <w:rPr>
          <w:rFonts w:cstheme="minorHAnsi"/>
          <w:sz w:val="24"/>
          <w:szCs w:val="24"/>
        </w:rPr>
        <w:t xml:space="preserve"> </w:t>
      </w:r>
    </w:p>
    <w:p w14:paraId="6658469F" w14:textId="4E38F9F5" w:rsidR="00A6709D" w:rsidRPr="0099161A" w:rsidRDefault="00F37FEE" w:rsidP="00A6709D">
      <w:pPr>
        <w:rPr>
          <w:rFonts w:cstheme="minorHAnsi"/>
          <w:sz w:val="24"/>
          <w:szCs w:val="24"/>
        </w:rPr>
      </w:pPr>
      <w:r w:rsidRPr="0099161A">
        <w:rPr>
          <w:rFonts w:cstheme="minorHAnsi"/>
          <w:sz w:val="24"/>
          <w:szCs w:val="24"/>
        </w:rPr>
        <w:t>Local</w:t>
      </w:r>
      <w:r w:rsidR="0003159E" w:rsidRPr="0099161A">
        <w:rPr>
          <w:rFonts w:cstheme="minorHAnsi"/>
          <w:sz w:val="24"/>
          <w:szCs w:val="24"/>
        </w:rPr>
        <w:t xml:space="preserve"> and regional</w:t>
      </w:r>
      <w:r w:rsidRPr="0099161A">
        <w:rPr>
          <w:rFonts w:cstheme="minorHAnsi"/>
          <w:sz w:val="24"/>
          <w:szCs w:val="24"/>
        </w:rPr>
        <w:t xml:space="preserve"> government and third sector organizations have already looked to address the observed mismatch but what is required here a</w:t>
      </w:r>
      <w:r w:rsidR="00DD101B" w:rsidRPr="0099161A">
        <w:rPr>
          <w:rFonts w:cstheme="minorHAnsi"/>
          <w:sz w:val="24"/>
          <w:szCs w:val="24"/>
        </w:rPr>
        <w:t>re</w:t>
      </w:r>
      <w:r w:rsidRPr="0099161A">
        <w:rPr>
          <w:rFonts w:cstheme="minorHAnsi"/>
          <w:sz w:val="24"/>
          <w:szCs w:val="24"/>
        </w:rPr>
        <w:t xml:space="preserve"> greater resources and coherence</w:t>
      </w:r>
      <w:r w:rsidR="0003159E" w:rsidRPr="0099161A">
        <w:rPr>
          <w:rFonts w:cstheme="minorHAnsi"/>
          <w:sz w:val="24"/>
          <w:szCs w:val="24"/>
        </w:rPr>
        <w:t>, which builds capacity.</w:t>
      </w:r>
      <w:r w:rsidR="0003159E" w:rsidRPr="0099161A">
        <w:rPr>
          <w:rStyle w:val="FootnoteReference"/>
          <w:rFonts w:cstheme="minorHAnsi"/>
          <w:sz w:val="24"/>
          <w:szCs w:val="24"/>
        </w:rPr>
        <w:footnoteReference w:id="16"/>
      </w:r>
      <w:r w:rsidRPr="0099161A">
        <w:rPr>
          <w:rFonts w:cstheme="minorHAnsi"/>
          <w:sz w:val="24"/>
          <w:szCs w:val="24"/>
        </w:rPr>
        <w:t xml:space="preserve"> </w:t>
      </w:r>
      <w:r w:rsidR="0003159E" w:rsidRPr="0099161A">
        <w:rPr>
          <w:rFonts w:cstheme="minorHAnsi"/>
          <w:sz w:val="24"/>
          <w:szCs w:val="24"/>
        </w:rPr>
        <w:t>R</w:t>
      </w:r>
      <w:r w:rsidR="00FE08C1" w:rsidRPr="0099161A">
        <w:rPr>
          <w:rFonts w:cstheme="minorHAnsi"/>
          <w:sz w:val="24"/>
          <w:szCs w:val="24"/>
        </w:rPr>
        <w:t xml:space="preserve">ather than leave a gap between central and local activity to be filled sporadically, it makes more sense </w:t>
      </w:r>
      <w:r w:rsidR="00CD4F24" w:rsidRPr="0099161A">
        <w:rPr>
          <w:rFonts w:cstheme="minorHAnsi"/>
          <w:sz w:val="24"/>
          <w:szCs w:val="24"/>
        </w:rPr>
        <w:t xml:space="preserve">for central government </w:t>
      </w:r>
      <w:r w:rsidR="00FE08C1" w:rsidRPr="0099161A">
        <w:rPr>
          <w:rFonts w:cstheme="minorHAnsi"/>
          <w:sz w:val="24"/>
          <w:szCs w:val="24"/>
        </w:rPr>
        <w:t xml:space="preserve">to </w:t>
      </w:r>
      <w:r w:rsidR="00CD4F24" w:rsidRPr="0099161A">
        <w:rPr>
          <w:rFonts w:cstheme="minorHAnsi"/>
          <w:sz w:val="24"/>
          <w:szCs w:val="24"/>
        </w:rPr>
        <w:t xml:space="preserve">plan and fund </w:t>
      </w:r>
      <w:r w:rsidR="00FE08C1" w:rsidRPr="0099161A">
        <w:rPr>
          <w:rFonts w:cstheme="minorHAnsi"/>
          <w:sz w:val="24"/>
          <w:szCs w:val="24"/>
        </w:rPr>
        <w:t>coordinated bridging activity. For example,</w:t>
      </w:r>
      <w:r w:rsidR="00CD4F24" w:rsidRPr="0099161A">
        <w:rPr>
          <w:rFonts w:cstheme="minorHAnsi"/>
          <w:sz w:val="24"/>
          <w:szCs w:val="24"/>
        </w:rPr>
        <w:t xml:space="preserve"> </w:t>
      </w:r>
      <w:r w:rsidR="0003159E" w:rsidRPr="0099161A">
        <w:rPr>
          <w:rFonts w:cstheme="minorHAnsi"/>
          <w:sz w:val="24"/>
          <w:szCs w:val="24"/>
        </w:rPr>
        <w:t xml:space="preserve">with appropriate funding, </w:t>
      </w:r>
      <w:r w:rsidR="00CD4F24" w:rsidRPr="0099161A">
        <w:rPr>
          <w:rFonts w:cstheme="minorHAnsi"/>
          <w:sz w:val="24"/>
          <w:szCs w:val="24"/>
        </w:rPr>
        <w:t>postcode teams can be recruited and trained to target whole communities, adopting street-by-street strategies of persuasion that engage households on a community level, activating or reinforcing a ‘we psychology’.</w:t>
      </w:r>
      <w:r w:rsidR="00FD67FF" w:rsidRPr="0099161A">
        <w:rPr>
          <w:rStyle w:val="FootnoteReference"/>
          <w:rFonts w:cstheme="minorHAnsi"/>
          <w:sz w:val="24"/>
          <w:szCs w:val="24"/>
        </w:rPr>
        <w:footnoteReference w:id="17"/>
      </w:r>
      <w:r w:rsidR="00CD4F24" w:rsidRPr="0099161A">
        <w:rPr>
          <w:rFonts w:cstheme="minorHAnsi"/>
          <w:sz w:val="24"/>
          <w:szCs w:val="24"/>
        </w:rPr>
        <w:t xml:space="preserve"> This </w:t>
      </w:r>
      <w:r w:rsidR="00E22FC8" w:rsidRPr="0099161A">
        <w:rPr>
          <w:rFonts w:cstheme="minorHAnsi"/>
          <w:sz w:val="24"/>
          <w:szCs w:val="24"/>
        </w:rPr>
        <w:t>overcomes</w:t>
      </w:r>
      <w:r w:rsidR="00CD4F24" w:rsidRPr="0099161A">
        <w:rPr>
          <w:rFonts w:cstheme="minorHAnsi"/>
          <w:sz w:val="24"/>
          <w:szCs w:val="24"/>
        </w:rPr>
        <w:t xml:space="preserve"> </w:t>
      </w:r>
      <w:r w:rsidR="00E22FC8" w:rsidRPr="0099161A">
        <w:rPr>
          <w:rFonts w:cstheme="minorHAnsi"/>
          <w:sz w:val="24"/>
          <w:szCs w:val="24"/>
        </w:rPr>
        <w:t>a key context barrier: an individual calculative marginal gains approach, subject to information asymmetries and other ‘transaction costs’. L</w:t>
      </w:r>
      <w:r w:rsidR="00CD4F24" w:rsidRPr="0099161A">
        <w:rPr>
          <w:rFonts w:cstheme="minorHAnsi"/>
          <w:sz w:val="24"/>
          <w:szCs w:val="24"/>
        </w:rPr>
        <w:t>ocal ownership of scheme</w:t>
      </w:r>
      <w:r w:rsidR="00E22FC8" w:rsidRPr="0099161A">
        <w:rPr>
          <w:rFonts w:cstheme="minorHAnsi"/>
          <w:sz w:val="24"/>
          <w:szCs w:val="24"/>
        </w:rPr>
        <w:t xml:space="preserve"> administration and implementation can encourage take up </w:t>
      </w:r>
      <w:r w:rsidR="00CD4F24" w:rsidRPr="0099161A">
        <w:rPr>
          <w:rFonts w:cstheme="minorHAnsi"/>
          <w:sz w:val="24"/>
          <w:szCs w:val="24"/>
        </w:rPr>
        <w:t xml:space="preserve"> and can provide a vehicle that combines opportunities for general community ‘green transition’ awareness and specific skills education (in the context of potential employment for locally recruited retrofitters and community organisers).</w:t>
      </w:r>
      <w:r w:rsidR="00E22FC8" w:rsidRPr="0099161A">
        <w:rPr>
          <w:rStyle w:val="FootnoteReference"/>
          <w:rFonts w:cstheme="minorHAnsi"/>
          <w:sz w:val="24"/>
          <w:szCs w:val="24"/>
        </w:rPr>
        <w:footnoteReference w:id="18"/>
      </w:r>
      <w:r w:rsidR="00CD4F24" w:rsidRPr="0099161A">
        <w:rPr>
          <w:rFonts w:cstheme="minorHAnsi"/>
          <w:sz w:val="24"/>
          <w:szCs w:val="24"/>
        </w:rPr>
        <w:t xml:space="preserve"> </w:t>
      </w:r>
      <w:r w:rsidR="0003159E" w:rsidRPr="0099161A">
        <w:rPr>
          <w:rFonts w:cstheme="minorHAnsi"/>
          <w:sz w:val="24"/>
          <w:szCs w:val="24"/>
        </w:rPr>
        <w:t xml:space="preserve">A shift in orientation towards community coherence can reduce the dissipation consequences for local investment and consumption multipliers </w:t>
      </w:r>
      <w:r w:rsidR="00442662" w:rsidRPr="0099161A">
        <w:rPr>
          <w:rFonts w:cstheme="minorHAnsi"/>
          <w:sz w:val="24"/>
          <w:szCs w:val="24"/>
        </w:rPr>
        <w:t>that are intrinsic to</w:t>
      </w:r>
      <w:r w:rsidR="0003159E" w:rsidRPr="0099161A">
        <w:rPr>
          <w:rFonts w:cstheme="minorHAnsi"/>
          <w:sz w:val="24"/>
          <w:szCs w:val="24"/>
        </w:rPr>
        <w:t xml:space="preserve"> current tendering and contracting procedures. </w:t>
      </w:r>
      <w:r w:rsidR="00E22FC8" w:rsidRPr="0099161A">
        <w:rPr>
          <w:rFonts w:cstheme="minorHAnsi"/>
          <w:sz w:val="24"/>
          <w:szCs w:val="24"/>
        </w:rPr>
        <w:t xml:space="preserve">The health and social benefits of reducing fuel poverty is a further consideration. </w:t>
      </w:r>
      <w:r w:rsidR="00A6709D" w:rsidRPr="0099161A">
        <w:rPr>
          <w:rFonts w:cstheme="minorHAnsi"/>
          <w:sz w:val="24"/>
          <w:szCs w:val="24"/>
        </w:rPr>
        <w:t xml:space="preserve">However, </w:t>
      </w:r>
      <w:r w:rsidR="00442662" w:rsidRPr="0099161A">
        <w:rPr>
          <w:rFonts w:cstheme="minorHAnsi"/>
          <w:sz w:val="24"/>
          <w:szCs w:val="24"/>
        </w:rPr>
        <w:t xml:space="preserve">despite new funding commitments, </w:t>
      </w:r>
      <w:r w:rsidR="00E22FC8" w:rsidRPr="0099161A">
        <w:rPr>
          <w:rFonts w:cstheme="minorHAnsi"/>
          <w:sz w:val="24"/>
          <w:szCs w:val="24"/>
        </w:rPr>
        <w:t xml:space="preserve">current infrastructure valuation models remain an impediment to more effective </w:t>
      </w:r>
      <w:r w:rsidR="00A6709D" w:rsidRPr="0099161A">
        <w:rPr>
          <w:rFonts w:cstheme="minorHAnsi"/>
          <w:sz w:val="24"/>
          <w:szCs w:val="24"/>
        </w:rPr>
        <w:t>public</w:t>
      </w:r>
      <w:r w:rsidR="00E22FC8" w:rsidRPr="0099161A">
        <w:rPr>
          <w:rFonts w:cstheme="minorHAnsi"/>
          <w:sz w:val="24"/>
          <w:szCs w:val="24"/>
        </w:rPr>
        <w:t xml:space="preserve"> initiatives</w:t>
      </w:r>
      <w:r w:rsidR="00A6709D" w:rsidRPr="0099161A">
        <w:rPr>
          <w:rFonts w:cstheme="minorHAnsi"/>
          <w:sz w:val="24"/>
          <w:szCs w:val="24"/>
        </w:rPr>
        <w:t>.</w:t>
      </w:r>
      <w:r w:rsidR="00A6709D" w:rsidRPr="0099161A">
        <w:rPr>
          <w:rStyle w:val="FootnoteReference"/>
          <w:rFonts w:cstheme="minorHAnsi"/>
          <w:sz w:val="24"/>
          <w:szCs w:val="24"/>
        </w:rPr>
        <w:footnoteReference w:id="19"/>
      </w:r>
      <w:r w:rsidR="00A6709D" w:rsidRPr="0099161A">
        <w:rPr>
          <w:rFonts w:cstheme="minorHAnsi"/>
          <w:sz w:val="24"/>
          <w:szCs w:val="24"/>
        </w:rPr>
        <w:t xml:space="preserve"> </w:t>
      </w:r>
      <w:r w:rsidR="00E22FC8" w:rsidRPr="0099161A">
        <w:rPr>
          <w:rFonts w:cstheme="minorHAnsi"/>
          <w:sz w:val="24"/>
          <w:szCs w:val="24"/>
        </w:rPr>
        <w:t xml:space="preserve"> </w:t>
      </w:r>
      <w:r w:rsidR="0003159E" w:rsidRPr="0099161A">
        <w:rPr>
          <w:rFonts w:cstheme="minorHAnsi"/>
          <w:sz w:val="24"/>
          <w:szCs w:val="24"/>
        </w:rPr>
        <w:t xml:space="preserve"> </w:t>
      </w:r>
    </w:p>
    <w:p w14:paraId="551462B4" w14:textId="77777777" w:rsidR="0099161A" w:rsidRDefault="0099161A" w:rsidP="00E12974">
      <w:pPr>
        <w:rPr>
          <w:rFonts w:cstheme="minorHAnsi"/>
          <w:b/>
          <w:bCs/>
          <w:sz w:val="28"/>
          <w:szCs w:val="28"/>
        </w:rPr>
      </w:pPr>
    </w:p>
    <w:p w14:paraId="6EBE6B9A" w14:textId="17B6A63E" w:rsidR="007E1F66" w:rsidRPr="006B014C" w:rsidRDefault="00A9243F" w:rsidP="00E12974">
      <w:pPr>
        <w:rPr>
          <w:rFonts w:cstheme="minorHAnsi"/>
          <w:b/>
          <w:bCs/>
        </w:rPr>
      </w:pPr>
      <w:r>
        <w:rPr>
          <w:rFonts w:cstheme="minorHAnsi"/>
          <w:b/>
          <w:bCs/>
          <w:sz w:val="28"/>
          <w:szCs w:val="28"/>
        </w:rPr>
        <w:t xml:space="preserve">5. </w:t>
      </w:r>
      <w:r w:rsidRPr="006B014C">
        <w:rPr>
          <w:rFonts w:cstheme="minorHAnsi"/>
          <w:b/>
          <w:bCs/>
          <w:sz w:val="28"/>
          <w:szCs w:val="28"/>
        </w:rPr>
        <w:t xml:space="preserve">GREEN BOOK REFORM: </w:t>
      </w:r>
      <w:r>
        <w:rPr>
          <w:rFonts w:cstheme="minorHAnsi"/>
          <w:b/>
          <w:bCs/>
          <w:sz w:val="28"/>
          <w:szCs w:val="28"/>
        </w:rPr>
        <w:t>INCORPORATING THE</w:t>
      </w:r>
      <w:r w:rsidRPr="006B014C">
        <w:rPr>
          <w:rFonts w:cstheme="minorHAnsi"/>
          <w:b/>
          <w:bCs/>
          <w:sz w:val="28"/>
          <w:szCs w:val="28"/>
        </w:rPr>
        <w:t xml:space="preserve"> SYSTEM-WIDE ECONOMIC, ENVIRONMENTAL AND SOCIAL VALUE </w:t>
      </w:r>
      <w:r>
        <w:rPr>
          <w:rFonts w:cstheme="minorHAnsi"/>
          <w:b/>
          <w:bCs/>
          <w:sz w:val="28"/>
          <w:szCs w:val="28"/>
        </w:rPr>
        <w:t>OF INFRASTRUCTURE</w:t>
      </w:r>
    </w:p>
    <w:p w14:paraId="457A18E7" w14:textId="0630846F" w:rsidR="00887CB0" w:rsidRPr="0099161A" w:rsidRDefault="00611B57" w:rsidP="00887CB0">
      <w:pPr>
        <w:rPr>
          <w:rFonts w:cstheme="minorHAnsi"/>
          <w:sz w:val="24"/>
          <w:szCs w:val="24"/>
        </w:rPr>
      </w:pPr>
      <w:r w:rsidRPr="0099161A">
        <w:rPr>
          <w:rFonts w:cstheme="minorHAnsi"/>
          <w:sz w:val="24"/>
          <w:szCs w:val="24"/>
        </w:rPr>
        <w:t>I</w:t>
      </w:r>
      <w:r w:rsidR="00E12974" w:rsidRPr="0099161A">
        <w:rPr>
          <w:rFonts w:cstheme="minorHAnsi"/>
          <w:sz w:val="24"/>
          <w:szCs w:val="24"/>
        </w:rPr>
        <w:t>t is a commonplace that successful economic recovery requires an approach to economic valuation that goes beyond any unidimensional value metric (</w:t>
      </w:r>
      <w:proofErr w:type="gramStart"/>
      <w:r w:rsidR="00E12974" w:rsidRPr="0099161A">
        <w:rPr>
          <w:rFonts w:cstheme="minorHAnsi"/>
          <w:sz w:val="24"/>
          <w:szCs w:val="24"/>
        </w:rPr>
        <w:t>e.g.</w:t>
      </w:r>
      <w:proofErr w:type="gramEnd"/>
      <w:r w:rsidR="00E12974" w:rsidRPr="0099161A">
        <w:rPr>
          <w:rFonts w:cstheme="minorHAnsi"/>
          <w:sz w:val="24"/>
          <w:szCs w:val="24"/>
        </w:rPr>
        <w:t xml:space="preserve"> beyond GDP, beyond NPV). At the very least environmental and social value metrics must also be employed. </w:t>
      </w:r>
      <w:r w:rsidR="00887CB0" w:rsidRPr="0099161A">
        <w:rPr>
          <w:rFonts w:cstheme="minorHAnsi"/>
          <w:sz w:val="24"/>
          <w:szCs w:val="24"/>
        </w:rPr>
        <w:t>This is not just a measurement issue –</w:t>
      </w:r>
      <w:r w:rsidR="00483593" w:rsidRPr="0099161A">
        <w:rPr>
          <w:rFonts w:cstheme="minorHAnsi"/>
          <w:sz w:val="24"/>
          <w:szCs w:val="24"/>
        </w:rPr>
        <w:t xml:space="preserve"> </w:t>
      </w:r>
      <w:r w:rsidR="00887CB0" w:rsidRPr="0099161A">
        <w:rPr>
          <w:rFonts w:cstheme="minorHAnsi"/>
          <w:sz w:val="24"/>
          <w:szCs w:val="24"/>
        </w:rPr>
        <w:t xml:space="preserve">we need a </w:t>
      </w:r>
      <w:r w:rsidR="00887CB0" w:rsidRPr="0099161A">
        <w:rPr>
          <w:rFonts w:cstheme="minorHAnsi"/>
          <w:i/>
          <w:iCs/>
          <w:sz w:val="24"/>
          <w:szCs w:val="24"/>
        </w:rPr>
        <w:t>theory</w:t>
      </w:r>
      <w:r w:rsidR="00887CB0" w:rsidRPr="0099161A">
        <w:rPr>
          <w:rFonts w:cstheme="minorHAnsi"/>
          <w:sz w:val="24"/>
          <w:szCs w:val="24"/>
        </w:rPr>
        <w:t xml:space="preserve"> of economic value that goes beyond GDP and beyond NPV, not just </w:t>
      </w:r>
      <w:r w:rsidR="00887CB0" w:rsidRPr="0099161A">
        <w:rPr>
          <w:rFonts w:cstheme="minorHAnsi"/>
          <w:i/>
          <w:iCs/>
          <w:sz w:val="24"/>
          <w:szCs w:val="24"/>
        </w:rPr>
        <w:t>metrics</w:t>
      </w:r>
      <w:r w:rsidR="00887CB0" w:rsidRPr="0099161A">
        <w:rPr>
          <w:rFonts w:cstheme="minorHAnsi"/>
          <w:sz w:val="24"/>
          <w:szCs w:val="24"/>
        </w:rPr>
        <w:t xml:space="preserve"> that do so</w:t>
      </w:r>
      <w:r w:rsidR="00BF6193" w:rsidRPr="0099161A">
        <w:rPr>
          <w:rFonts w:cstheme="minorHAnsi"/>
          <w:sz w:val="24"/>
          <w:szCs w:val="24"/>
        </w:rPr>
        <w:t>. W</w:t>
      </w:r>
      <w:r w:rsidR="00483593" w:rsidRPr="0099161A">
        <w:rPr>
          <w:rFonts w:cstheme="minorHAnsi"/>
          <w:sz w:val="24"/>
          <w:szCs w:val="24"/>
        </w:rPr>
        <w:t xml:space="preserve">e need a </w:t>
      </w:r>
      <w:r w:rsidR="00483593" w:rsidRPr="0099161A">
        <w:rPr>
          <w:rFonts w:cstheme="minorHAnsi"/>
          <w:i/>
          <w:iCs/>
          <w:sz w:val="24"/>
          <w:szCs w:val="24"/>
        </w:rPr>
        <w:t>theory</w:t>
      </w:r>
      <w:r w:rsidR="00483593" w:rsidRPr="0099161A">
        <w:rPr>
          <w:rFonts w:cstheme="minorHAnsi"/>
          <w:sz w:val="24"/>
          <w:szCs w:val="24"/>
        </w:rPr>
        <w:t xml:space="preserve"> of how the economic system works when the standard assumptions, equating monetary value and wellbeing, break down</w:t>
      </w:r>
      <w:r w:rsidR="00887CB0" w:rsidRPr="0099161A">
        <w:rPr>
          <w:rFonts w:cstheme="minorHAnsi"/>
          <w:sz w:val="24"/>
          <w:szCs w:val="24"/>
        </w:rPr>
        <w:t xml:space="preserve">. It may surprise the reader that current Government valuation guidelines, as contained in HMTs ‘Green Book,’ spell out the conditions under which standard (unidimensional) </w:t>
      </w:r>
      <w:r w:rsidR="009F59D1" w:rsidRPr="0099161A">
        <w:rPr>
          <w:rFonts w:cstheme="minorHAnsi"/>
          <w:sz w:val="24"/>
          <w:szCs w:val="24"/>
        </w:rPr>
        <w:t xml:space="preserve">economic </w:t>
      </w:r>
      <w:r w:rsidR="00887CB0" w:rsidRPr="0099161A">
        <w:rPr>
          <w:rFonts w:cstheme="minorHAnsi"/>
          <w:sz w:val="24"/>
          <w:szCs w:val="24"/>
        </w:rPr>
        <w:t xml:space="preserve">value theory breaks down. Moreover, these guidelines stress how valuation must adopt ‘system-of-system’ principles, hinting at, but not specifying, </w:t>
      </w:r>
      <w:r w:rsidR="00DF226A" w:rsidRPr="0099161A">
        <w:rPr>
          <w:rFonts w:cstheme="minorHAnsi"/>
          <w:sz w:val="24"/>
          <w:szCs w:val="24"/>
        </w:rPr>
        <w:t>an</w:t>
      </w:r>
      <w:r w:rsidR="00887CB0" w:rsidRPr="0099161A">
        <w:rPr>
          <w:rFonts w:cstheme="minorHAnsi"/>
          <w:sz w:val="24"/>
          <w:szCs w:val="24"/>
        </w:rPr>
        <w:t xml:space="preserve"> </w:t>
      </w:r>
      <w:r w:rsidR="00887CB0" w:rsidRPr="0099161A">
        <w:rPr>
          <w:rFonts w:cstheme="minorHAnsi"/>
          <w:sz w:val="24"/>
          <w:szCs w:val="24"/>
        </w:rPr>
        <w:lastRenderedPageBreak/>
        <w:t xml:space="preserve">economic theory that can operationalise systems-of-systems principles. </w:t>
      </w:r>
      <w:r w:rsidR="003D7285" w:rsidRPr="0099161A">
        <w:rPr>
          <w:rFonts w:cstheme="minorHAnsi"/>
          <w:sz w:val="24"/>
          <w:szCs w:val="24"/>
        </w:rPr>
        <w:t>W</w:t>
      </w:r>
      <w:r w:rsidR="00887CB0" w:rsidRPr="0099161A">
        <w:rPr>
          <w:rFonts w:cstheme="minorHAnsi"/>
          <w:sz w:val="24"/>
          <w:szCs w:val="24"/>
        </w:rPr>
        <w:t xml:space="preserve">e </w:t>
      </w:r>
      <w:r w:rsidR="0028470F" w:rsidRPr="0099161A">
        <w:rPr>
          <w:rFonts w:cstheme="minorHAnsi"/>
          <w:sz w:val="24"/>
          <w:szCs w:val="24"/>
        </w:rPr>
        <w:t xml:space="preserve">do not </w:t>
      </w:r>
      <w:r w:rsidR="00887CB0" w:rsidRPr="0099161A">
        <w:rPr>
          <w:rFonts w:cstheme="minorHAnsi"/>
          <w:sz w:val="24"/>
          <w:szCs w:val="24"/>
        </w:rPr>
        <w:t>have to go far to find the requisite economic value theory: it is embodied in the Government’s adoption of industrial strategy ‘missions.’</w:t>
      </w:r>
    </w:p>
    <w:p w14:paraId="1758CF28" w14:textId="13BA6B1B" w:rsidR="00006BB1" w:rsidRPr="0099161A" w:rsidRDefault="00A53621" w:rsidP="005C7C0F">
      <w:pPr>
        <w:rPr>
          <w:rFonts w:cstheme="minorHAnsi"/>
          <w:sz w:val="24"/>
          <w:szCs w:val="24"/>
        </w:rPr>
      </w:pPr>
      <w:r w:rsidRPr="0099161A">
        <w:rPr>
          <w:rFonts w:cstheme="minorHAnsi"/>
          <w:sz w:val="24"/>
          <w:szCs w:val="24"/>
        </w:rPr>
        <w:t xml:space="preserve">Government </w:t>
      </w:r>
      <w:r w:rsidR="00703ECE" w:rsidRPr="0099161A">
        <w:rPr>
          <w:rFonts w:cstheme="minorHAnsi"/>
          <w:sz w:val="24"/>
          <w:szCs w:val="24"/>
        </w:rPr>
        <w:t>industrial strategy</w:t>
      </w:r>
      <w:r w:rsidR="0075799D" w:rsidRPr="0099161A">
        <w:rPr>
          <w:rFonts w:cstheme="minorHAnsi"/>
          <w:sz w:val="24"/>
          <w:szCs w:val="24"/>
        </w:rPr>
        <w:t xml:space="preserve">, as </w:t>
      </w:r>
      <w:proofErr w:type="spellStart"/>
      <w:r w:rsidR="00EF482F" w:rsidRPr="0099161A">
        <w:rPr>
          <w:rFonts w:cstheme="minorHAnsi"/>
          <w:sz w:val="24"/>
          <w:szCs w:val="24"/>
        </w:rPr>
        <w:t>Mazzucato</w:t>
      </w:r>
      <w:proofErr w:type="spellEnd"/>
      <w:r w:rsidR="00EF482F" w:rsidRPr="0099161A">
        <w:rPr>
          <w:rFonts w:cstheme="minorHAnsi"/>
          <w:sz w:val="24"/>
          <w:szCs w:val="24"/>
        </w:rPr>
        <w:t xml:space="preserve"> and colle</w:t>
      </w:r>
      <w:r w:rsidR="00390652" w:rsidRPr="0099161A">
        <w:rPr>
          <w:rFonts w:cstheme="minorHAnsi"/>
          <w:sz w:val="24"/>
          <w:szCs w:val="24"/>
        </w:rPr>
        <w:t>a</w:t>
      </w:r>
      <w:r w:rsidR="00EF482F" w:rsidRPr="0099161A">
        <w:rPr>
          <w:rFonts w:cstheme="minorHAnsi"/>
          <w:sz w:val="24"/>
          <w:szCs w:val="24"/>
        </w:rPr>
        <w:t>gues</w:t>
      </w:r>
      <w:r w:rsidR="00563F3E" w:rsidRPr="0099161A">
        <w:rPr>
          <w:rFonts w:cstheme="minorHAnsi"/>
          <w:sz w:val="24"/>
          <w:szCs w:val="24"/>
        </w:rPr>
        <w:t xml:space="preserve"> </w:t>
      </w:r>
      <w:r w:rsidR="000422D1" w:rsidRPr="0099161A">
        <w:rPr>
          <w:rFonts w:cstheme="minorHAnsi"/>
          <w:sz w:val="24"/>
          <w:szCs w:val="24"/>
        </w:rPr>
        <w:t>(</w:t>
      </w:r>
      <w:r w:rsidR="00A645D1" w:rsidRPr="0099161A">
        <w:rPr>
          <w:rFonts w:cstheme="minorHAnsi"/>
          <w:sz w:val="24"/>
          <w:szCs w:val="24"/>
        </w:rPr>
        <w:t>2019</w:t>
      </w:r>
      <w:r w:rsidR="000422D1" w:rsidRPr="0099161A">
        <w:rPr>
          <w:rFonts w:cstheme="minorHAnsi"/>
          <w:sz w:val="24"/>
          <w:szCs w:val="24"/>
        </w:rPr>
        <w:t xml:space="preserve">) </w:t>
      </w:r>
      <w:r w:rsidR="00563F3E" w:rsidRPr="0099161A">
        <w:rPr>
          <w:rFonts w:cstheme="minorHAnsi"/>
          <w:sz w:val="24"/>
          <w:szCs w:val="24"/>
        </w:rPr>
        <w:t>have stressed,</w:t>
      </w:r>
      <w:r w:rsidR="00162F45" w:rsidRPr="0099161A">
        <w:rPr>
          <w:rFonts w:cstheme="minorHAnsi"/>
          <w:sz w:val="24"/>
          <w:szCs w:val="24"/>
        </w:rPr>
        <w:t xml:space="preserve"> </w:t>
      </w:r>
      <w:r w:rsidR="008B661C" w:rsidRPr="0099161A">
        <w:rPr>
          <w:rFonts w:cstheme="minorHAnsi"/>
          <w:sz w:val="24"/>
          <w:szCs w:val="24"/>
        </w:rPr>
        <w:t>employs</w:t>
      </w:r>
      <w:r w:rsidR="00EF482F" w:rsidRPr="0099161A">
        <w:rPr>
          <w:rFonts w:cstheme="minorHAnsi"/>
          <w:sz w:val="24"/>
          <w:szCs w:val="24"/>
        </w:rPr>
        <w:t xml:space="preserve"> </w:t>
      </w:r>
      <w:r w:rsidR="00D657AE" w:rsidRPr="0099161A">
        <w:rPr>
          <w:rFonts w:cstheme="minorHAnsi"/>
          <w:sz w:val="24"/>
          <w:szCs w:val="24"/>
        </w:rPr>
        <w:t>a</w:t>
      </w:r>
      <w:r w:rsidR="009E2AB2" w:rsidRPr="0099161A">
        <w:rPr>
          <w:rFonts w:cstheme="minorHAnsi"/>
          <w:sz w:val="24"/>
          <w:szCs w:val="24"/>
        </w:rPr>
        <w:t xml:space="preserve"> </w:t>
      </w:r>
      <w:r w:rsidR="00162F45" w:rsidRPr="0099161A">
        <w:rPr>
          <w:rFonts w:cstheme="minorHAnsi"/>
          <w:sz w:val="24"/>
          <w:szCs w:val="24"/>
        </w:rPr>
        <w:t>t</w:t>
      </w:r>
      <w:r w:rsidR="0069476A" w:rsidRPr="0099161A">
        <w:rPr>
          <w:rFonts w:cstheme="minorHAnsi"/>
          <w:sz w:val="24"/>
          <w:szCs w:val="24"/>
        </w:rPr>
        <w:t>heory</w:t>
      </w:r>
      <w:r w:rsidR="003B285B" w:rsidRPr="0099161A">
        <w:rPr>
          <w:rFonts w:cstheme="minorHAnsi"/>
          <w:sz w:val="24"/>
          <w:szCs w:val="24"/>
        </w:rPr>
        <w:t xml:space="preserve"> of value creation</w:t>
      </w:r>
      <w:r w:rsidR="000E5ADD" w:rsidRPr="0099161A">
        <w:rPr>
          <w:rFonts w:cstheme="minorHAnsi"/>
          <w:sz w:val="24"/>
          <w:szCs w:val="24"/>
        </w:rPr>
        <w:t xml:space="preserve"> (</w:t>
      </w:r>
      <w:r w:rsidR="00162F45" w:rsidRPr="0099161A">
        <w:rPr>
          <w:rFonts w:cstheme="minorHAnsi"/>
          <w:sz w:val="24"/>
          <w:szCs w:val="24"/>
        </w:rPr>
        <w:t xml:space="preserve">recently </w:t>
      </w:r>
      <w:r w:rsidR="00EF482F" w:rsidRPr="0099161A">
        <w:rPr>
          <w:rFonts w:cstheme="minorHAnsi"/>
          <w:sz w:val="24"/>
          <w:szCs w:val="24"/>
        </w:rPr>
        <w:t>advocated as ‘heterodox</w:t>
      </w:r>
      <w:r w:rsidR="00162F45" w:rsidRPr="0099161A">
        <w:rPr>
          <w:rFonts w:cstheme="minorHAnsi"/>
          <w:sz w:val="24"/>
          <w:szCs w:val="24"/>
        </w:rPr>
        <w:t>’</w:t>
      </w:r>
      <w:r w:rsidR="00EF482F" w:rsidRPr="0099161A">
        <w:rPr>
          <w:rFonts w:cstheme="minorHAnsi"/>
          <w:sz w:val="24"/>
          <w:szCs w:val="24"/>
        </w:rPr>
        <w:t xml:space="preserve"> economic</w:t>
      </w:r>
      <w:r w:rsidR="00162F45" w:rsidRPr="0099161A">
        <w:rPr>
          <w:rFonts w:cstheme="minorHAnsi"/>
          <w:sz w:val="24"/>
          <w:szCs w:val="24"/>
        </w:rPr>
        <w:t xml:space="preserve"> theory by the OECD </w:t>
      </w:r>
      <w:r w:rsidR="003B490F" w:rsidRPr="0099161A">
        <w:rPr>
          <w:rFonts w:cstheme="minorHAnsi"/>
          <w:sz w:val="24"/>
          <w:szCs w:val="24"/>
        </w:rPr>
        <w:t>(</w:t>
      </w:r>
      <w:r w:rsidR="00EF482F" w:rsidRPr="0099161A">
        <w:rPr>
          <w:rFonts w:cstheme="minorHAnsi"/>
          <w:sz w:val="24"/>
          <w:szCs w:val="24"/>
        </w:rPr>
        <w:t xml:space="preserve">2020) </w:t>
      </w:r>
      <w:r w:rsidR="00266F48" w:rsidRPr="0099161A">
        <w:rPr>
          <w:rFonts w:cstheme="minorHAnsi"/>
          <w:sz w:val="24"/>
          <w:szCs w:val="24"/>
        </w:rPr>
        <w:t xml:space="preserve">but surely </w:t>
      </w:r>
      <w:r w:rsidR="0069476A" w:rsidRPr="0099161A">
        <w:rPr>
          <w:rFonts w:cstheme="minorHAnsi"/>
          <w:sz w:val="24"/>
          <w:szCs w:val="24"/>
        </w:rPr>
        <w:t>the new</w:t>
      </w:r>
      <w:r w:rsidR="00266F48" w:rsidRPr="0099161A">
        <w:rPr>
          <w:rFonts w:cstheme="minorHAnsi"/>
          <w:sz w:val="24"/>
          <w:szCs w:val="24"/>
        </w:rPr>
        <w:t xml:space="preserve"> orthodoxy</w:t>
      </w:r>
      <w:r w:rsidR="00280283" w:rsidRPr="0099161A">
        <w:rPr>
          <w:rFonts w:cstheme="minorHAnsi"/>
          <w:sz w:val="24"/>
          <w:szCs w:val="24"/>
        </w:rPr>
        <w:t xml:space="preserve"> in current times</w:t>
      </w:r>
      <w:r w:rsidR="000E5ADD" w:rsidRPr="0099161A">
        <w:rPr>
          <w:rFonts w:cstheme="minorHAnsi"/>
          <w:sz w:val="24"/>
          <w:szCs w:val="24"/>
        </w:rPr>
        <w:t>)</w:t>
      </w:r>
      <w:r w:rsidR="00BB038C" w:rsidRPr="0099161A">
        <w:rPr>
          <w:rFonts w:cstheme="minorHAnsi"/>
          <w:sz w:val="24"/>
          <w:szCs w:val="24"/>
        </w:rPr>
        <w:t xml:space="preserve"> </w:t>
      </w:r>
      <w:r w:rsidR="008B61F0" w:rsidRPr="0099161A">
        <w:rPr>
          <w:rFonts w:cstheme="minorHAnsi"/>
          <w:sz w:val="24"/>
          <w:szCs w:val="24"/>
        </w:rPr>
        <w:t>t</w:t>
      </w:r>
      <w:r w:rsidR="00164C08" w:rsidRPr="0099161A">
        <w:rPr>
          <w:rFonts w:cstheme="minorHAnsi"/>
          <w:sz w:val="24"/>
          <w:szCs w:val="24"/>
        </w:rPr>
        <w:t>hat</w:t>
      </w:r>
      <w:r w:rsidR="00BB038C" w:rsidRPr="0099161A">
        <w:rPr>
          <w:rFonts w:cstheme="minorHAnsi"/>
          <w:sz w:val="24"/>
          <w:szCs w:val="24"/>
        </w:rPr>
        <w:t xml:space="preserve"> </w:t>
      </w:r>
      <w:r w:rsidR="00164C08" w:rsidRPr="0099161A">
        <w:rPr>
          <w:rFonts w:cstheme="minorHAnsi"/>
          <w:sz w:val="24"/>
          <w:szCs w:val="24"/>
        </w:rPr>
        <w:t xml:space="preserve">repudiates </w:t>
      </w:r>
      <w:r w:rsidR="000116D9" w:rsidRPr="0099161A">
        <w:rPr>
          <w:rFonts w:cstheme="minorHAnsi"/>
          <w:sz w:val="24"/>
          <w:szCs w:val="24"/>
        </w:rPr>
        <w:t xml:space="preserve">the ivory towers </w:t>
      </w:r>
      <w:r w:rsidR="00B56FEF" w:rsidRPr="0099161A">
        <w:rPr>
          <w:rFonts w:cstheme="minorHAnsi"/>
          <w:sz w:val="24"/>
          <w:szCs w:val="24"/>
        </w:rPr>
        <w:t xml:space="preserve">economics </w:t>
      </w:r>
      <w:r w:rsidR="000116D9" w:rsidRPr="0099161A">
        <w:rPr>
          <w:rFonts w:cstheme="minorHAnsi"/>
          <w:sz w:val="24"/>
          <w:szCs w:val="24"/>
        </w:rPr>
        <w:t xml:space="preserve">that emerged </w:t>
      </w:r>
      <w:r w:rsidR="001B50B9" w:rsidRPr="0099161A">
        <w:rPr>
          <w:rFonts w:cstheme="minorHAnsi"/>
          <w:sz w:val="24"/>
          <w:szCs w:val="24"/>
        </w:rPr>
        <w:t xml:space="preserve">in </w:t>
      </w:r>
      <w:r w:rsidR="00EF482F" w:rsidRPr="0099161A">
        <w:rPr>
          <w:rFonts w:cstheme="minorHAnsi"/>
          <w:sz w:val="24"/>
          <w:szCs w:val="24"/>
        </w:rPr>
        <w:t>the ‘formalist revolution’ after the second world war.</w:t>
      </w:r>
      <w:r w:rsidR="007E0E75" w:rsidRPr="0099161A">
        <w:rPr>
          <w:rFonts w:cstheme="minorHAnsi"/>
          <w:sz w:val="24"/>
          <w:szCs w:val="24"/>
        </w:rPr>
        <w:t xml:space="preserve"> </w:t>
      </w:r>
      <w:r w:rsidR="00F37006" w:rsidRPr="0099161A">
        <w:rPr>
          <w:rFonts w:cstheme="minorHAnsi"/>
          <w:sz w:val="24"/>
          <w:szCs w:val="24"/>
        </w:rPr>
        <w:t>Strategic ‘missions’</w:t>
      </w:r>
      <w:r w:rsidR="000A54B9" w:rsidRPr="0099161A">
        <w:rPr>
          <w:rFonts w:cstheme="minorHAnsi"/>
          <w:sz w:val="24"/>
          <w:szCs w:val="24"/>
        </w:rPr>
        <w:t xml:space="preserve"> take a systems-of-systems perspective</w:t>
      </w:r>
      <w:r w:rsidR="00D265CD" w:rsidRPr="0099161A">
        <w:rPr>
          <w:rFonts w:cstheme="minorHAnsi"/>
          <w:sz w:val="24"/>
          <w:szCs w:val="24"/>
        </w:rPr>
        <w:t xml:space="preserve"> on value creation</w:t>
      </w:r>
      <w:r w:rsidR="000A54B9" w:rsidRPr="0099161A">
        <w:rPr>
          <w:rFonts w:cstheme="minorHAnsi"/>
          <w:sz w:val="24"/>
          <w:szCs w:val="24"/>
        </w:rPr>
        <w:t xml:space="preserve">, identifying </w:t>
      </w:r>
      <w:r w:rsidR="00DD374A" w:rsidRPr="0099161A">
        <w:rPr>
          <w:rFonts w:cstheme="minorHAnsi"/>
          <w:sz w:val="24"/>
          <w:szCs w:val="24"/>
        </w:rPr>
        <w:t>the</w:t>
      </w:r>
      <w:r w:rsidR="000A54B9" w:rsidRPr="0099161A">
        <w:rPr>
          <w:rFonts w:cstheme="minorHAnsi"/>
          <w:sz w:val="24"/>
          <w:szCs w:val="24"/>
        </w:rPr>
        <w:t xml:space="preserve"> interdependencies</w:t>
      </w:r>
      <w:r w:rsidR="004A4398" w:rsidRPr="0099161A">
        <w:rPr>
          <w:rFonts w:cstheme="minorHAnsi"/>
          <w:sz w:val="24"/>
          <w:szCs w:val="24"/>
        </w:rPr>
        <w:t xml:space="preserve"> </w:t>
      </w:r>
      <w:r w:rsidR="00306ED4" w:rsidRPr="0099161A">
        <w:rPr>
          <w:rFonts w:cstheme="minorHAnsi"/>
          <w:sz w:val="24"/>
          <w:szCs w:val="24"/>
        </w:rPr>
        <w:t>and complementar</w:t>
      </w:r>
      <w:r w:rsidR="00A52F48" w:rsidRPr="0099161A">
        <w:rPr>
          <w:rFonts w:cstheme="minorHAnsi"/>
          <w:sz w:val="24"/>
          <w:szCs w:val="24"/>
        </w:rPr>
        <w:t>i</w:t>
      </w:r>
      <w:r w:rsidR="00306ED4" w:rsidRPr="0099161A">
        <w:rPr>
          <w:rFonts w:cstheme="minorHAnsi"/>
          <w:sz w:val="24"/>
          <w:szCs w:val="24"/>
        </w:rPr>
        <w:t>t</w:t>
      </w:r>
      <w:r w:rsidR="00A52F48" w:rsidRPr="0099161A">
        <w:rPr>
          <w:rFonts w:cstheme="minorHAnsi"/>
          <w:sz w:val="24"/>
          <w:szCs w:val="24"/>
        </w:rPr>
        <w:t>i</w:t>
      </w:r>
      <w:r w:rsidR="00306ED4" w:rsidRPr="0099161A">
        <w:rPr>
          <w:rFonts w:cstheme="minorHAnsi"/>
          <w:sz w:val="24"/>
          <w:szCs w:val="24"/>
        </w:rPr>
        <w:t xml:space="preserve">es </w:t>
      </w:r>
      <w:r w:rsidR="004A4398" w:rsidRPr="0099161A">
        <w:rPr>
          <w:rFonts w:cstheme="minorHAnsi"/>
          <w:sz w:val="24"/>
          <w:szCs w:val="24"/>
        </w:rPr>
        <w:t>between, for example,</w:t>
      </w:r>
      <w:r w:rsidR="000A54B9" w:rsidRPr="0099161A">
        <w:rPr>
          <w:rFonts w:cstheme="minorHAnsi"/>
          <w:sz w:val="24"/>
          <w:szCs w:val="24"/>
        </w:rPr>
        <w:t xml:space="preserve"> </w:t>
      </w:r>
      <w:r w:rsidR="004A4398" w:rsidRPr="0099161A">
        <w:rPr>
          <w:rFonts w:cstheme="minorHAnsi"/>
          <w:sz w:val="24"/>
          <w:szCs w:val="24"/>
        </w:rPr>
        <w:t>public and pr</w:t>
      </w:r>
      <w:r w:rsidR="00117480" w:rsidRPr="0099161A">
        <w:rPr>
          <w:rFonts w:cstheme="minorHAnsi"/>
          <w:sz w:val="24"/>
          <w:szCs w:val="24"/>
        </w:rPr>
        <w:t>ivate</w:t>
      </w:r>
      <w:r w:rsidR="004A4398" w:rsidRPr="0099161A">
        <w:rPr>
          <w:rFonts w:cstheme="minorHAnsi"/>
          <w:sz w:val="24"/>
          <w:szCs w:val="24"/>
        </w:rPr>
        <w:t xml:space="preserve"> sector</w:t>
      </w:r>
      <w:r w:rsidR="00117480" w:rsidRPr="0099161A">
        <w:rPr>
          <w:rFonts w:cstheme="minorHAnsi"/>
          <w:sz w:val="24"/>
          <w:szCs w:val="24"/>
        </w:rPr>
        <w:t xml:space="preserve"> </w:t>
      </w:r>
      <w:r w:rsidR="003D7285" w:rsidRPr="0099161A">
        <w:rPr>
          <w:rFonts w:cstheme="minorHAnsi"/>
          <w:sz w:val="24"/>
          <w:szCs w:val="24"/>
        </w:rPr>
        <w:t xml:space="preserve">systems </w:t>
      </w:r>
      <w:r w:rsidR="004A4398" w:rsidRPr="0099161A">
        <w:rPr>
          <w:rFonts w:cstheme="minorHAnsi"/>
          <w:sz w:val="24"/>
          <w:szCs w:val="24"/>
        </w:rPr>
        <w:t xml:space="preserve">that </w:t>
      </w:r>
      <w:r w:rsidR="00DD374A" w:rsidRPr="0099161A">
        <w:rPr>
          <w:rFonts w:cstheme="minorHAnsi"/>
          <w:sz w:val="24"/>
          <w:szCs w:val="24"/>
        </w:rPr>
        <w:t xml:space="preserve">enable </w:t>
      </w:r>
      <w:r w:rsidR="004A4398" w:rsidRPr="0099161A">
        <w:rPr>
          <w:rFonts w:cstheme="minorHAnsi"/>
          <w:sz w:val="24"/>
          <w:szCs w:val="24"/>
        </w:rPr>
        <w:t xml:space="preserve">valuable </w:t>
      </w:r>
      <w:r w:rsidR="00117480" w:rsidRPr="0099161A">
        <w:rPr>
          <w:rFonts w:cstheme="minorHAnsi"/>
          <w:sz w:val="24"/>
          <w:szCs w:val="24"/>
        </w:rPr>
        <w:t xml:space="preserve">innovation. </w:t>
      </w:r>
      <w:r w:rsidR="007E0E75" w:rsidRPr="0099161A">
        <w:rPr>
          <w:rFonts w:cstheme="minorHAnsi"/>
          <w:sz w:val="24"/>
          <w:szCs w:val="24"/>
        </w:rPr>
        <w:t xml:space="preserve">A mission orientation </w:t>
      </w:r>
      <w:r w:rsidR="00026C02" w:rsidRPr="0099161A">
        <w:rPr>
          <w:rFonts w:cstheme="minorHAnsi"/>
          <w:sz w:val="24"/>
          <w:szCs w:val="24"/>
        </w:rPr>
        <w:t xml:space="preserve">to value creation </w:t>
      </w:r>
      <w:r w:rsidR="007E0E75" w:rsidRPr="0099161A">
        <w:rPr>
          <w:rFonts w:cstheme="minorHAnsi"/>
          <w:sz w:val="24"/>
          <w:szCs w:val="24"/>
        </w:rPr>
        <w:t>is precisely a system-of-systems orientation</w:t>
      </w:r>
      <w:r w:rsidR="00BB4D82" w:rsidRPr="0099161A">
        <w:rPr>
          <w:rFonts w:cstheme="minorHAnsi"/>
          <w:sz w:val="24"/>
          <w:szCs w:val="24"/>
        </w:rPr>
        <w:t>.</w:t>
      </w:r>
      <w:r w:rsidR="00EF482F" w:rsidRPr="0099161A">
        <w:rPr>
          <w:rFonts w:cstheme="minorHAnsi"/>
          <w:sz w:val="24"/>
          <w:szCs w:val="24"/>
        </w:rPr>
        <w:t xml:space="preserve"> </w:t>
      </w:r>
      <w:r w:rsidR="00A13AE1" w:rsidRPr="0099161A">
        <w:rPr>
          <w:rFonts w:cstheme="minorHAnsi"/>
          <w:sz w:val="24"/>
          <w:szCs w:val="24"/>
        </w:rPr>
        <w:t xml:space="preserve">This chapter, </w:t>
      </w:r>
      <w:r w:rsidR="00C13037" w:rsidRPr="0099161A">
        <w:rPr>
          <w:rFonts w:cstheme="minorHAnsi"/>
          <w:sz w:val="24"/>
          <w:szCs w:val="24"/>
        </w:rPr>
        <w:t>grounded</w:t>
      </w:r>
      <w:r w:rsidR="007B0C3A" w:rsidRPr="0099161A">
        <w:rPr>
          <w:rFonts w:cstheme="minorHAnsi"/>
          <w:sz w:val="24"/>
          <w:szCs w:val="24"/>
        </w:rPr>
        <w:t xml:space="preserve"> i</w:t>
      </w:r>
      <w:r w:rsidR="007F1A2C" w:rsidRPr="0099161A">
        <w:rPr>
          <w:rFonts w:cstheme="minorHAnsi"/>
          <w:sz w:val="24"/>
          <w:szCs w:val="24"/>
        </w:rPr>
        <w:t>n</w:t>
      </w:r>
      <w:r w:rsidR="00A51501" w:rsidRPr="0099161A">
        <w:rPr>
          <w:rFonts w:cstheme="minorHAnsi"/>
          <w:sz w:val="24"/>
          <w:szCs w:val="24"/>
        </w:rPr>
        <w:t xml:space="preserve"> HM</w:t>
      </w:r>
      <w:r w:rsidR="000004B7" w:rsidRPr="0099161A">
        <w:rPr>
          <w:rFonts w:cstheme="minorHAnsi"/>
          <w:sz w:val="24"/>
          <w:szCs w:val="24"/>
        </w:rPr>
        <w:t>T</w:t>
      </w:r>
      <w:r w:rsidR="00A51501" w:rsidRPr="0099161A">
        <w:rPr>
          <w:rFonts w:cstheme="minorHAnsi"/>
          <w:sz w:val="24"/>
          <w:szCs w:val="24"/>
        </w:rPr>
        <w:t>’s</w:t>
      </w:r>
      <w:r w:rsidR="0068505F" w:rsidRPr="0099161A">
        <w:rPr>
          <w:rFonts w:cstheme="minorHAnsi"/>
          <w:sz w:val="24"/>
          <w:szCs w:val="24"/>
        </w:rPr>
        <w:t xml:space="preserve"> Green Book </w:t>
      </w:r>
      <w:r w:rsidR="00BA2583" w:rsidRPr="0099161A">
        <w:rPr>
          <w:rFonts w:cstheme="minorHAnsi"/>
          <w:sz w:val="24"/>
          <w:szCs w:val="24"/>
        </w:rPr>
        <w:t xml:space="preserve">fundamental </w:t>
      </w:r>
      <w:r w:rsidR="0068505F" w:rsidRPr="0099161A">
        <w:rPr>
          <w:rFonts w:cstheme="minorHAnsi"/>
          <w:sz w:val="24"/>
          <w:szCs w:val="24"/>
        </w:rPr>
        <w:t xml:space="preserve">principles, supplemented by </w:t>
      </w:r>
      <w:r w:rsidR="00955787" w:rsidRPr="0099161A">
        <w:rPr>
          <w:rFonts w:cstheme="minorHAnsi"/>
          <w:sz w:val="24"/>
          <w:szCs w:val="24"/>
        </w:rPr>
        <w:t>the G</w:t>
      </w:r>
      <w:r w:rsidR="00DE5B2C" w:rsidRPr="0099161A">
        <w:rPr>
          <w:rFonts w:cstheme="minorHAnsi"/>
          <w:sz w:val="24"/>
          <w:szCs w:val="24"/>
        </w:rPr>
        <w:t>o</w:t>
      </w:r>
      <w:r w:rsidR="00955787" w:rsidRPr="0099161A">
        <w:rPr>
          <w:rFonts w:cstheme="minorHAnsi"/>
          <w:sz w:val="24"/>
          <w:szCs w:val="24"/>
        </w:rPr>
        <w:t>vernment’s</w:t>
      </w:r>
      <w:r w:rsidR="00A51501" w:rsidRPr="0099161A">
        <w:rPr>
          <w:rFonts w:cstheme="minorHAnsi"/>
          <w:sz w:val="24"/>
          <w:szCs w:val="24"/>
        </w:rPr>
        <w:t xml:space="preserve"> </w:t>
      </w:r>
      <w:r w:rsidR="00ED0B98" w:rsidRPr="0099161A">
        <w:rPr>
          <w:rFonts w:cstheme="minorHAnsi"/>
          <w:sz w:val="24"/>
          <w:szCs w:val="24"/>
        </w:rPr>
        <w:t>mission oriented industrial strategy</w:t>
      </w:r>
      <w:r w:rsidR="00C91C74" w:rsidRPr="0099161A">
        <w:rPr>
          <w:rFonts w:cstheme="minorHAnsi"/>
          <w:sz w:val="24"/>
          <w:szCs w:val="24"/>
        </w:rPr>
        <w:t xml:space="preserve">, </w:t>
      </w:r>
      <w:r w:rsidR="00DD3AC6" w:rsidRPr="0099161A">
        <w:rPr>
          <w:rFonts w:cstheme="minorHAnsi"/>
          <w:sz w:val="24"/>
          <w:szCs w:val="24"/>
        </w:rPr>
        <w:t xml:space="preserve">will </w:t>
      </w:r>
      <w:r w:rsidR="00A13AE1" w:rsidRPr="0099161A">
        <w:rPr>
          <w:rFonts w:cstheme="minorHAnsi"/>
          <w:sz w:val="24"/>
          <w:szCs w:val="24"/>
        </w:rPr>
        <w:t xml:space="preserve">suggest </w:t>
      </w:r>
      <w:r w:rsidR="00BA2583" w:rsidRPr="0099161A">
        <w:rPr>
          <w:rFonts w:cstheme="minorHAnsi"/>
          <w:sz w:val="24"/>
          <w:szCs w:val="24"/>
        </w:rPr>
        <w:t xml:space="preserve">further </w:t>
      </w:r>
      <w:r w:rsidR="00B2021A" w:rsidRPr="0099161A">
        <w:rPr>
          <w:rFonts w:cstheme="minorHAnsi"/>
          <w:sz w:val="24"/>
          <w:szCs w:val="24"/>
        </w:rPr>
        <w:t>development</w:t>
      </w:r>
      <w:r w:rsidR="00464EF4" w:rsidRPr="0099161A">
        <w:rPr>
          <w:rFonts w:cstheme="minorHAnsi"/>
          <w:sz w:val="24"/>
          <w:szCs w:val="24"/>
        </w:rPr>
        <w:t>s</w:t>
      </w:r>
      <w:r w:rsidR="00B2021A" w:rsidRPr="0099161A">
        <w:rPr>
          <w:rFonts w:cstheme="minorHAnsi"/>
          <w:sz w:val="24"/>
          <w:szCs w:val="24"/>
        </w:rPr>
        <w:t xml:space="preserve"> of</w:t>
      </w:r>
      <w:r w:rsidR="00550E2F" w:rsidRPr="0099161A">
        <w:rPr>
          <w:rFonts w:cstheme="minorHAnsi"/>
          <w:sz w:val="24"/>
          <w:szCs w:val="24"/>
        </w:rPr>
        <w:t xml:space="preserve"> Green Book guidelines</w:t>
      </w:r>
      <w:r w:rsidR="00BA2583" w:rsidRPr="0099161A">
        <w:rPr>
          <w:rFonts w:cstheme="minorHAnsi"/>
          <w:sz w:val="24"/>
          <w:szCs w:val="24"/>
        </w:rPr>
        <w:t xml:space="preserve"> and</w:t>
      </w:r>
      <w:r w:rsidR="00550E2F" w:rsidRPr="0099161A">
        <w:rPr>
          <w:rFonts w:cstheme="minorHAnsi"/>
          <w:sz w:val="24"/>
          <w:szCs w:val="24"/>
        </w:rPr>
        <w:t xml:space="preserve"> </w:t>
      </w:r>
      <w:r w:rsidR="00E54FFD" w:rsidRPr="0099161A">
        <w:rPr>
          <w:rFonts w:cstheme="minorHAnsi"/>
          <w:sz w:val="24"/>
          <w:szCs w:val="24"/>
        </w:rPr>
        <w:t xml:space="preserve">of </w:t>
      </w:r>
      <w:r w:rsidR="00550E2F" w:rsidRPr="0099161A">
        <w:rPr>
          <w:rFonts w:cstheme="minorHAnsi"/>
          <w:sz w:val="24"/>
          <w:szCs w:val="24"/>
        </w:rPr>
        <w:t xml:space="preserve">their </w:t>
      </w:r>
      <w:r w:rsidR="00CD53FE" w:rsidRPr="0099161A">
        <w:rPr>
          <w:rFonts w:cstheme="minorHAnsi"/>
          <w:sz w:val="24"/>
          <w:szCs w:val="24"/>
        </w:rPr>
        <w:t xml:space="preserve">practical </w:t>
      </w:r>
      <w:r w:rsidR="00550E2F" w:rsidRPr="0099161A">
        <w:rPr>
          <w:rFonts w:cstheme="minorHAnsi"/>
          <w:sz w:val="24"/>
          <w:szCs w:val="24"/>
        </w:rPr>
        <w:t xml:space="preserve">operationalisation by public sector bodies (such as WYCA), </w:t>
      </w:r>
      <w:r w:rsidR="00BA2583" w:rsidRPr="0099161A">
        <w:rPr>
          <w:rFonts w:cstheme="minorHAnsi"/>
          <w:sz w:val="24"/>
          <w:szCs w:val="24"/>
        </w:rPr>
        <w:t>to</w:t>
      </w:r>
      <w:r w:rsidR="00CD53FE" w:rsidRPr="0099161A">
        <w:rPr>
          <w:rFonts w:cstheme="minorHAnsi"/>
          <w:sz w:val="24"/>
          <w:szCs w:val="24"/>
        </w:rPr>
        <w:t xml:space="preserve"> </w:t>
      </w:r>
      <w:r w:rsidR="006B014C" w:rsidRPr="0099161A">
        <w:rPr>
          <w:rFonts w:cstheme="minorHAnsi"/>
          <w:sz w:val="24"/>
          <w:szCs w:val="24"/>
        </w:rPr>
        <w:t>better capture system-wide</w:t>
      </w:r>
      <w:r w:rsidR="0081300D" w:rsidRPr="0099161A">
        <w:rPr>
          <w:rFonts w:cstheme="minorHAnsi"/>
          <w:sz w:val="24"/>
          <w:szCs w:val="24"/>
        </w:rPr>
        <w:t xml:space="preserve"> </w:t>
      </w:r>
      <w:r w:rsidR="00550E2F" w:rsidRPr="0099161A">
        <w:rPr>
          <w:rFonts w:cstheme="minorHAnsi"/>
          <w:sz w:val="24"/>
          <w:szCs w:val="24"/>
        </w:rPr>
        <w:t>economic, environmental and social value. Th</w:t>
      </w:r>
      <w:r w:rsidR="00046EE0" w:rsidRPr="0099161A">
        <w:rPr>
          <w:rFonts w:cstheme="minorHAnsi"/>
          <w:sz w:val="24"/>
          <w:szCs w:val="24"/>
        </w:rPr>
        <w:t>e</w:t>
      </w:r>
      <w:r w:rsidR="00550E2F" w:rsidRPr="0099161A">
        <w:rPr>
          <w:rFonts w:cstheme="minorHAnsi"/>
          <w:sz w:val="24"/>
          <w:szCs w:val="24"/>
        </w:rPr>
        <w:t xml:space="preserve"> chapter will take the specific case of ‘green and blue infrastructure’ as its example, drawing from the </w:t>
      </w:r>
      <w:proofErr w:type="spellStart"/>
      <w:r w:rsidR="00550E2F" w:rsidRPr="0099161A">
        <w:rPr>
          <w:rFonts w:cstheme="minorHAnsi"/>
          <w:sz w:val="24"/>
          <w:szCs w:val="24"/>
        </w:rPr>
        <w:t>iCASP</w:t>
      </w:r>
      <w:proofErr w:type="spellEnd"/>
      <w:r w:rsidR="00550E2F" w:rsidRPr="0099161A">
        <w:rPr>
          <w:rFonts w:cstheme="minorHAnsi"/>
          <w:sz w:val="24"/>
          <w:szCs w:val="24"/>
        </w:rPr>
        <w:t xml:space="preserve"> ‘Green and Blue Infrastructure’ project. </w:t>
      </w:r>
    </w:p>
    <w:p w14:paraId="512EE633" w14:textId="6859E714" w:rsidR="009E2AB2" w:rsidRPr="0099161A" w:rsidRDefault="00D1407F" w:rsidP="00A9243F">
      <w:pPr>
        <w:rPr>
          <w:rFonts w:cstheme="minorHAnsi"/>
          <w:sz w:val="24"/>
          <w:szCs w:val="24"/>
        </w:rPr>
      </w:pPr>
      <w:r w:rsidRPr="0099161A">
        <w:rPr>
          <w:rFonts w:cstheme="minorHAnsi"/>
          <w:b/>
          <w:bCs/>
          <w:sz w:val="24"/>
          <w:szCs w:val="24"/>
        </w:rPr>
        <w:t>S</w:t>
      </w:r>
      <w:r w:rsidR="00006BB1" w:rsidRPr="0099161A">
        <w:rPr>
          <w:rFonts w:cstheme="minorHAnsi"/>
          <w:b/>
          <w:bCs/>
          <w:sz w:val="24"/>
          <w:szCs w:val="24"/>
        </w:rPr>
        <w:t>ystem-of-systems thinking in HMTs Green Book</w:t>
      </w:r>
      <w:r w:rsidRPr="0099161A">
        <w:rPr>
          <w:rFonts w:cstheme="minorHAnsi"/>
          <w:b/>
          <w:bCs/>
          <w:sz w:val="24"/>
          <w:szCs w:val="24"/>
        </w:rPr>
        <w:t>: valuing infrastructure and industry</w:t>
      </w:r>
      <w:r w:rsidR="00A9243F" w:rsidRPr="0099161A">
        <w:rPr>
          <w:rFonts w:cstheme="minorHAnsi"/>
          <w:b/>
          <w:bCs/>
          <w:sz w:val="24"/>
          <w:szCs w:val="24"/>
        </w:rPr>
        <w:t xml:space="preserve">. </w:t>
      </w:r>
      <w:r w:rsidR="009E2AB2" w:rsidRPr="0099161A">
        <w:rPr>
          <w:rFonts w:cstheme="minorHAnsi"/>
          <w:sz w:val="24"/>
          <w:szCs w:val="24"/>
        </w:rPr>
        <w:t>HM Treasury’s Green Book guides assessment of public sector policies programmes and projects, in terms of affordability, fit with strategic objectives and value for money.</w:t>
      </w:r>
      <w:r w:rsidR="00E60E73" w:rsidRPr="0099161A">
        <w:rPr>
          <w:rFonts w:cstheme="minorHAnsi"/>
          <w:sz w:val="24"/>
          <w:szCs w:val="24"/>
        </w:rPr>
        <w:t xml:space="preserve"> The Green Book</w:t>
      </w:r>
      <w:r w:rsidR="009E2AB2" w:rsidRPr="0099161A">
        <w:rPr>
          <w:rFonts w:cstheme="minorHAnsi"/>
          <w:sz w:val="24"/>
          <w:szCs w:val="24"/>
        </w:rPr>
        <w:t xml:space="preserve"> is based upon the conceptual principles of ‘neoclassical welfare economics.’ These principles set out the nature and conditions of applicability of standard value theory, as taught in microeconomics textbooks. </w:t>
      </w:r>
      <w:r w:rsidR="002B43B3" w:rsidRPr="0099161A">
        <w:rPr>
          <w:rFonts w:cstheme="minorHAnsi"/>
          <w:sz w:val="24"/>
          <w:szCs w:val="24"/>
        </w:rPr>
        <w:t xml:space="preserve">As noted above, the alternative theory required when these conditions are not met is hinted at in current Green Book guidelines, though their advocacy of system-of-systems thinking. </w:t>
      </w:r>
      <w:r w:rsidR="001D1852" w:rsidRPr="0099161A">
        <w:rPr>
          <w:rFonts w:cstheme="minorHAnsi"/>
          <w:sz w:val="24"/>
          <w:szCs w:val="24"/>
        </w:rPr>
        <w:t>In a range of previous research, w</w:t>
      </w:r>
      <w:r w:rsidR="00C524E2" w:rsidRPr="0099161A">
        <w:rPr>
          <w:rFonts w:cstheme="minorHAnsi"/>
          <w:sz w:val="24"/>
          <w:szCs w:val="24"/>
        </w:rPr>
        <w:t xml:space="preserve">e have developed such a ‘systems-systems’ economic theory, </w:t>
      </w:r>
      <w:r w:rsidR="001D1852" w:rsidRPr="0099161A">
        <w:rPr>
          <w:rFonts w:cstheme="minorHAnsi"/>
          <w:sz w:val="24"/>
          <w:szCs w:val="24"/>
        </w:rPr>
        <w:t>consonant with</w:t>
      </w:r>
      <w:r w:rsidR="002B43B3" w:rsidRPr="0099161A">
        <w:rPr>
          <w:rFonts w:cstheme="minorHAnsi"/>
          <w:sz w:val="24"/>
          <w:szCs w:val="24"/>
        </w:rPr>
        <w:t xml:space="preserve"> the theory of value creation underpinning Government’s industrial strategy ‘missions</w:t>
      </w:r>
      <w:r w:rsidR="00E60E73" w:rsidRPr="0099161A">
        <w:rPr>
          <w:rFonts w:cstheme="minorHAnsi"/>
          <w:sz w:val="24"/>
          <w:szCs w:val="24"/>
        </w:rPr>
        <w:t>,</w:t>
      </w:r>
      <w:r w:rsidR="002B43B3" w:rsidRPr="0099161A">
        <w:rPr>
          <w:rFonts w:cstheme="minorHAnsi"/>
          <w:sz w:val="24"/>
          <w:szCs w:val="24"/>
        </w:rPr>
        <w:t xml:space="preserve">’ </w:t>
      </w:r>
      <w:r w:rsidR="00E60E73" w:rsidRPr="0099161A">
        <w:rPr>
          <w:rFonts w:cstheme="minorHAnsi"/>
          <w:sz w:val="24"/>
          <w:szCs w:val="24"/>
        </w:rPr>
        <w:t xml:space="preserve">and </w:t>
      </w:r>
      <w:r w:rsidR="001D1852" w:rsidRPr="0099161A">
        <w:rPr>
          <w:rFonts w:cstheme="minorHAnsi"/>
          <w:sz w:val="24"/>
          <w:szCs w:val="24"/>
        </w:rPr>
        <w:t>with</w:t>
      </w:r>
      <w:r w:rsidR="00E60E73" w:rsidRPr="0099161A">
        <w:rPr>
          <w:rFonts w:cstheme="minorHAnsi"/>
          <w:sz w:val="24"/>
          <w:szCs w:val="24"/>
        </w:rPr>
        <w:t xml:space="preserve"> related bod</w:t>
      </w:r>
      <w:r w:rsidR="00C524E2" w:rsidRPr="0099161A">
        <w:rPr>
          <w:rFonts w:cstheme="minorHAnsi"/>
          <w:sz w:val="24"/>
          <w:szCs w:val="24"/>
        </w:rPr>
        <w:t>ies</w:t>
      </w:r>
      <w:r w:rsidR="00E60E73" w:rsidRPr="0099161A">
        <w:rPr>
          <w:rFonts w:cstheme="minorHAnsi"/>
          <w:sz w:val="24"/>
          <w:szCs w:val="24"/>
        </w:rPr>
        <w:t xml:space="preserve"> of </w:t>
      </w:r>
      <w:r w:rsidR="00C524E2" w:rsidRPr="0099161A">
        <w:rPr>
          <w:rFonts w:cstheme="minorHAnsi"/>
          <w:sz w:val="24"/>
          <w:szCs w:val="24"/>
        </w:rPr>
        <w:t>economic t</w:t>
      </w:r>
      <w:r w:rsidR="00E60E73" w:rsidRPr="0099161A">
        <w:rPr>
          <w:rFonts w:cstheme="minorHAnsi"/>
          <w:sz w:val="24"/>
          <w:szCs w:val="24"/>
        </w:rPr>
        <w:t>hought (including</w:t>
      </w:r>
      <w:r w:rsidR="002B43B3" w:rsidRPr="0099161A">
        <w:rPr>
          <w:rFonts w:cstheme="minorHAnsi"/>
          <w:sz w:val="24"/>
          <w:szCs w:val="24"/>
        </w:rPr>
        <w:t xml:space="preserve"> Sen’s approach</w:t>
      </w:r>
      <w:r w:rsidR="00E60E73" w:rsidRPr="0099161A">
        <w:rPr>
          <w:rFonts w:cstheme="minorHAnsi"/>
          <w:sz w:val="24"/>
          <w:szCs w:val="24"/>
        </w:rPr>
        <w:t>)</w:t>
      </w:r>
      <w:r w:rsidR="001D1852" w:rsidRPr="0099161A">
        <w:rPr>
          <w:rFonts w:cstheme="minorHAnsi"/>
          <w:sz w:val="24"/>
          <w:szCs w:val="24"/>
        </w:rPr>
        <w:t xml:space="preserve">. A comparison is </w:t>
      </w:r>
      <w:r w:rsidR="009E2AB2" w:rsidRPr="0099161A">
        <w:rPr>
          <w:rFonts w:cstheme="minorHAnsi"/>
          <w:sz w:val="24"/>
          <w:szCs w:val="24"/>
        </w:rPr>
        <w:t>summarised in the table below</w:t>
      </w:r>
      <w:r w:rsidR="002B43B3" w:rsidRPr="0099161A">
        <w:rPr>
          <w:rFonts w:cstheme="minorHAnsi"/>
          <w:sz w:val="24"/>
          <w:szCs w:val="24"/>
        </w:rPr>
        <w:t>:</w:t>
      </w:r>
      <w:r w:rsidR="00C524E2" w:rsidRPr="0099161A">
        <w:rPr>
          <w:rStyle w:val="FootnoteReference"/>
          <w:rFonts w:cstheme="minorHAnsi"/>
          <w:sz w:val="24"/>
          <w:szCs w:val="24"/>
        </w:rPr>
        <w:t xml:space="preserve"> </w:t>
      </w:r>
      <w:r w:rsidR="00C524E2" w:rsidRPr="0099161A">
        <w:rPr>
          <w:rStyle w:val="FootnoteReference"/>
          <w:rFonts w:cstheme="minorHAnsi"/>
          <w:sz w:val="24"/>
          <w:szCs w:val="24"/>
        </w:rPr>
        <w:footnoteReference w:id="20"/>
      </w:r>
      <w:r w:rsidR="009E2AB2" w:rsidRPr="0099161A">
        <w:rPr>
          <w:rFonts w:cstheme="minorHAnsi"/>
          <w:sz w:val="24"/>
          <w:szCs w:val="24"/>
        </w:rPr>
        <w:t xml:space="preserve"> </w:t>
      </w:r>
    </w:p>
    <w:p w14:paraId="0FCBD713" w14:textId="77777777" w:rsidR="00315B25" w:rsidRPr="0099161A" w:rsidRDefault="00315B25" w:rsidP="008406D1">
      <w:pPr>
        <w:rPr>
          <w:rFonts w:cstheme="minorHAnsi"/>
          <w:sz w:val="24"/>
          <w:szCs w:val="24"/>
        </w:rPr>
      </w:pPr>
    </w:p>
    <w:tbl>
      <w:tblPr>
        <w:tblpPr w:leftFromText="180" w:rightFromText="180" w:vertAnchor="text" w:horzAnchor="margin" w:tblpXSpec="center" w:tblpY="247"/>
        <w:tblW w:w="10791" w:type="dxa"/>
        <w:tblCellMar>
          <w:left w:w="0" w:type="dxa"/>
          <w:right w:w="0" w:type="dxa"/>
        </w:tblCellMar>
        <w:tblLook w:val="04A0" w:firstRow="1" w:lastRow="0" w:firstColumn="1" w:lastColumn="0" w:noHBand="0" w:noVBand="1"/>
      </w:tblPr>
      <w:tblGrid>
        <w:gridCol w:w="2357"/>
        <w:gridCol w:w="4141"/>
        <w:gridCol w:w="4293"/>
      </w:tblGrid>
      <w:tr w:rsidR="00923E24" w:rsidRPr="0099161A" w14:paraId="0B2D0ED0" w14:textId="77777777" w:rsidTr="00923E24">
        <w:trPr>
          <w:trHeight w:val="715"/>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1B953D0F" w14:textId="77777777" w:rsidR="00923E24" w:rsidRPr="0099161A" w:rsidRDefault="00923E24" w:rsidP="00923E24">
            <w:pPr>
              <w:rPr>
                <w:rFonts w:cstheme="minorHAnsi"/>
                <w:sz w:val="24"/>
                <w:szCs w:val="24"/>
              </w:rPr>
            </w:pPr>
            <w:r w:rsidRPr="0099161A">
              <w:rPr>
                <w:rFonts w:cstheme="minorHAnsi"/>
                <w:sz w:val="24"/>
                <w:szCs w:val="24"/>
              </w:rPr>
              <w:t> </w:t>
            </w:r>
          </w:p>
        </w:tc>
        <w:tc>
          <w:tcPr>
            <w:tcW w:w="4141"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475431F4" w14:textId="77777777" w:rsidR="00923E24" w:rsidRPr="0099161A" w:rsidRDefault="00923E24" w:rsidP="00923E24">
            <w:pPr>
              <w:rPr>
                <w:rFonts w:cstheme="minorHAnsi"/>
                <w:sz w:val="24"/>
                <w:szCs w:val="24"/>
              </w:rPr>
            </w:pPr>
            <w:r w:rsidRPr="0099161A">
              <w:rPr>
                <w:rFonts w:cstheme="minorHAnsi"/>
                <w:sz w:val="24"/>
                <w:szCs w:val="24"/>
              </w:rPr>
              <w:t>Standard (‘microeconomics’)</w:t>
            </w:r>
          </w:p>
        </w:tc>
        <w:tc>
          <w:tcPr>
            <w:tcW w:w="4293"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040D3EC0" w14:textId="77777777" w:rsidR="00923E24" w:rsidRPr="0099161A" w:rsidRDefault="00923E24" w:rsidP="00923E24">
            <w:pPr>
              <w:rPr>
                <w:rFonts w:cstheme="minorHAnsi"/>
                <w:sz w:val="24"/>
                <w:szCs w:val="24"/>
              </w:rPr>
            </w:pPr>
            <w:r w:rsidRPr="0099161A">
              <w:rPr>
                <w:rFonts w:cstheme="minorHAnsi"/>
                <w:sz w:val="24"/>
                <w:szCs w:val="24"/>
              </w:rPr>
              <w:t>Alternative (‘system of systems’ economics)</w:t>
            </w:r>
          </w:p>
        </w:tc>
      </w:tr>
      <w:tr w:rsidR="00923E24" w:rsidRPr="0099161A" w14:paraId="31AFFFCD" w14:textId="77777777" w:rsidTr="00923E24">
        <w:trPr>
          <w:trHeight w:val="715"/>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5A9E0AD7" w14:textId="77777777" w:rsidR="00923E24" w:rsidRPr="0099161A" w:rsidRDefault="00923E24" w:rsidP="00923E24">
            <w:pPr>
              <w:rPr>
                <w:rFonts w:cstheme="minorHAnsi"/>
                <w:sz w:val="24"/>
                <w:szCs w:val="24"/>
              </w:rPr>
            </w:pPr>
            <w:r w:rsidRPr="0099161A">
              <w:rPr>
                <w:rFonts w:cstheme="minorHAnsi"/>
                <w:sz w:val="24"/>
                <w:szCs w:val="24"/>
              </w:rPr>
              <w:t>Wellbeing is…</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7C12CCAB" w14:textId="77777777" w:rsidR="00923E24" w:rsidRPr="0099161A" w:rsidRDefault="00923E24" w:rsidP="00923E24">
            <w:pPr>
              <w:rPr>
                <w:rFonts w:cstheme="minorHAnsi"/>
                <w:sz w:val="24"/>
                <w:szCs w:val="24"/>
              </w:rPr>
            </w:pPr>
            <w:r w:rsidRPr="0099161A">
              <w:rPr>
                <w:rFonts w:cstheme="minorHAnsi"/>
                <w:sz w:val="24"/>
                <w:szCs w:val="24"/>
                <w:u w:val="single"/>
              </w:rPr>
              <w:t>One-dimensional</w:t>
            </w:r>
            <w:r w:rsidRPr="0099161A">
              <w:rPr>
                <w:rFonts w:cstheme="minorHAnsi"/>
                <w:sz w:val="24"/>
                <w:szCs w:val="24"/>
              </w:rPr>
              <w:t xml:space="preserve"> ‘subjective utility’ </w:t>
            </w: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7842B1E8" w14:textId="77777777" w:rsidR="00923E24" w:rsidRPr="0099161A" w:rsidRDefault="00923E24" w:rsidP="00923E24">
            <w:pPr>
              <w:rPr>
                <w:rFonts w:cstheme="minorHAnsi"/>
                <w:sz w:val="24"/>
                <w:szCs w:val="24"/>
              </w:rPr>
            </w:pPr>
            <w:r w:rsidRPr="0099161A">
              <w:rPr>
                <w:rFonts w:cstheme="minorHAnsi"/>
                <w:sz w:val="24"/>
                <w:szCs w:val="24"/>
                <w:u w:val="single"/>
              </w:rPr>
              <w:t>Multi-dimensional</w:t>
            </w:r>
            <w:r w:rsidRPr="0099161A">
              <w:rPr>
                <w:rFonts w:cstheme="minorHAnsi"/>
                <w:sz w:val="24"/>
                <w:szCs w:val="24"/>
              </w:rPr>
              <w:t xml:space="preserve"> ‘human flourishing’</w:t>
            </w:r>
          </w:p>
        </w:tc>
      </w:tr>
      <w:tr w:rsidR="00923E24" w:rsidRPr="0099161A" w14:paraId="7CA13E0C" w14:textId="77777777" w:rsidTr="00923E24">
        <w:trPr>
          <w:trHeight w:val="369"/>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47F53250" w14:textId="77777777" w:rsidR="00923E24" w:rsidRPr="0099161A" w:rsidRDefault="00923E24" w:rsidP="00923E24">
            <w:pPr>
              <w:rPr>
                <w:rFonts w:cstheme="minorHAnsi"/>
                <w:sz w:val="24"/>
                <w:szCs w:val="24"/>
              </w:rPr>
            </w:pPr>
            <w:r w:rsidRPr="0099161A">
              <w:rPr>
                <w:rFonts w:cstheme="minorHAnsi"/>
                <w:sz w:val="24"/>
                <w:szCs w:val="24"/>
              </w:rPr>
              <w:lastRenderedPageBreak/>
              <w:t>Money is…</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249814E9" w14:textId="77777777" w:rsidR="00923E24" w:rsidRPr="0099161A" w:rsidRDefault="00923E24" w:rsidP="00923E24">
            <w:pPr>
              <w:rPr>
                <w:rFonts w:cstheme="minorHAnsi"/>
                <w:sz w:val="24"/>
                <w:szCs w:val="24"/>
              </w:rPr>
            </w:pPr>
            <w:r w:rsidRPr="0099161A">
              <w:rPr>
                <w:rFonts w:cstheme="minorHAnsi"/>
                <w:sz w:val="24"/>
                <w:szCs w:val="24"/>
                <w:u w:val="single"/>
              </w:rPr>
              <w:t>Measure</w:t>
            </w:r>
            <w:r w:rsidRPr="0099161A">
              <w:rPr>
                <w:rFonts w:cstheme="minorHAnsi"/>
                <w:sz w:val="24"/>
                <w:szCs w:val="24"/>
              </w:rPr>
              <w:t xml:space="preserve"> of wellbeing</w:t>
            </w: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7966ED0E" w14:textId="77777777" w:rsidR="00923E24" w:rsidRPr="0099161A" w:rsidRDefault="00923E24" w:rsidP="00923E24">
            <w:pPr>
              <w:rPr>
                <w:rFonts w:cstheme="minorHAnsi"/>
                <w:sz w:val="24"/>
                <w:szCs w:val="24"/>
              </w:rPr>
            </w:pPr>
            <w:r w:rsidRPr="0099161A">
              <w:rPr>
                <w:rFonts w:cstheme="minorHAnsi"/>
                <w:sz w:val="24"/>
                <w:szCs w:val="24"/>
                <w:u w:val="single"/>
              </w:rPr>
              <w:t>Not sole measure</w:t>
            </w:r>
            <w:r w:rsidRPr="0099161A">
              <w:rPr>
                <w:rFonts w:cstheme="minorHAnsi"/>
                <w:sz w:val="24"/>
                <w:szCs w:val="24"/>
              </w:rPr>
              <w:t xml:space="preserve"> of wellbeing</w:t>
            </w:r>
          </w:p>
        </w:tc>
      </w:tr>
      <w:tr w:rsidR="00923E24" w:rsidRPr="0099161A" w14:paraId="1854A1F0" w14:textId="77777777" w:rsidTr="00923E24">
        <w:trPr>
          <w:trHeight w:val="715"/>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50D65E40" w14:textId="77777777" w:rsidR="00923E24" w:rsidRPr="0099161A" w:rsidRDefault="00923E24" w:rsidP="00923E24">
            <w:pPr>
              <w:rPr>
                <w:rFonts w:cstheme="minorHAnsi"/>
                <w:sz w:val="24"/>
                <w:szCs w:val="24"/>
              </w:rPr>
            </w:pPr>
            <w:r w:rsidRPr="0099161A">
              <w:rPr>
                <w:rFonts w:cstheme="minorHAnsi"/>
                <w:sz w:val="24"/>
                <w:szCs w:val="24"/>
              </w:rPr>
              <w:t>Vision of…</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4AEA9BE2" w14:textId="77777777" w:rsidR="00923E24" w:rsidRPr="0099161A" w:rsidRDefault="00923E24" w:rsidP="00923E24">
            <w:pPr>
              <w:rPr>
                <w:rFonts w:cstheme="minorHAnsi"/>
                <w:sz w:val="24"/>
                <w:szCs w:val="24"/>
              </w:rPr>
            </w:pPr>
            <w:r w:rsidRPr="0099161A">
              <w:rPr>
                <w:rFonts w:cstheme="minorHAnsi"/>
                <w:sz w:val="24"/>
                <w:szCs w:val="24"/>
                <w:u w:val="single"/>
              </w:rPr>
              <w:t>Market allocation</w:t>
            </w:r>
            <w:r w:rsidRPr="0099161A">
              <w:rPr>
                <w:rFonts w:cstheme="minorHAnsi"/>
                <w:sz w:val="24"/>
                <w:szCs w:val="24"/>
              </w:rPr>
              <w:t xml:space="preserve"> of </w:t>
            </w:r>
            <w:r w:rsidRPr="0099161A">
              <w:rPr>
                <w:rFonts w:cstheme="minorHAnsi"/>
                <w:sz w:val="24"/>
                <w:szCs w:val="24"/>
                <w:u w:val="single"/>
              </w:rPr>
              <w:t>scarce resources</w:t>
            </w:r>
            <w:r w:rsidRPr="0099161A">
              <w:rPr>
                <w:rFonts w:cstheme="minorHAnsi"/>
                <w:sz w:val="24"/>
                <w:szCs w:val="24"/>
              </w:rPr>
              <w:t xml:space="preserve"> </w:t>
            </w: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256B16C1" w14:textId="77777777" w:rsidR="00923E24" w:rsidRPr="0099161A" w:rsidRDefault="00923E24" w:rsidP="00923E24">
            <w:pPr>
              <w:rPr>
                <w:rFonts w:cstheme="minorHAnsi"/>
                <w:sz w:val="24"/>
                <w:szCs w:val="24"/>
              </w:rPr>
            </w:pPr>
            <w:r w:rsidRPr="0099161A">
              <w:rPr>
                <w:rFonts w:cstheme="minorHAnsi"/>
                <w:sz w:val="24"/>
                <w:szCs w:val="24"/>
                <w:u w:val="single"/>
              </w:rPr>
              <w:t xml:space="preserve">Profit system </w:t>
            </w:r>
            <w:r w:rsidRPr="0099161A">
              <w:rPr>
                <w:rFonts w:cstheme="minorHAnsi"/>
                <w:sz w:val="24"/>
                <w:szCs w:val="24"/>
              </w:rPr>
              <w:t xml:space="preserve">of </w:t>
            </w:r>
            <w:r w:rsidRPr="0099161A">
              <w:rPr>
                <w:rFonts w:cstheme="minorHAnsi"/>
                <w:sz w:val="24"/>
                <w:szCs w:val="24"/>
                <w:u w:val="single"/>
              </w:rPr>
              <w:t>social provisioning</w:t>
            </w:r>
            <w:r w:rsidRPr="0099161A">
              <w:rPr>
                <w:rFonts w:cstheme="minorHAnsi"/>
                <w:sz w:val="24"/>
                <w:szCs w:val="24"/>
              </w:rPr>
              <w:t xml:space="preserve"> </w:t>
            </w:r>
          </w:p>
        </w:tc>
      </w:tr>
      <w:tr w:rsidR="00923E24" w:rsidRPr="0099161A" w14:paraId="2FA19A75" w14:textId="77777777" w:rsidTr="00923E24">
        <w:trPr>
          <w:trHeight w:val="1062"/>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01D53408" w14:textId="77777777" w:rsidR="00923E24" w:rsidRPr="0099161A" w:rsidRDefault="00923E24" w:rsidP="00923E24">
            <w:pPr>
              <w:rPr>
                <w:rFonts w:cstheme="minorHAnsi"/>
                <w:sz w:val="24"/>
                <w:szCs w:val="24"/>
              </w:rPr>
            </w:pPr>
            <w:r w:rsidRPr="0099161A">
              <w:rPr>
                <w:rFonts w:cstheme="minorHAnsi"/>
                <w:sz w:val="24"/>
                <w:szCs w:val="24"/>
              </w:rPr>
              <w:t>Basic principle is…</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6B39C117" w14:textId="77777777" w:rsidR="00923E24" w:rsidRPr="0099161A" w:rsidRDefault="00923E24" w:rsidP="00923E24">
            <w:pPr>
              <w:rPr>
                <w:rFonts w:cstheme="minorHAnsi"/>
                <w:sz w:val="24"/>
                <w:szCs w:val="24"/>
              </w:rPr>
            </w:pPr>
            <w:r w:rsidRPr="0099161A">
              <w:rPr>
                <w:rFonts w:cstheme="minorHAnsi"/>
                <w:sz w:val="24"/>
                <w:szCs w:val="24"/>
                <w:u w:val="single"/>
              </w:rPr>
              <w:t>Monetise costs and benefits</w:t>
            </w:r>
            <w:r w:rsidRPr="0099161A">
              <w:rPr>
                <w:rFonts w:cstheme="minorHAnsi"/>
                <w:sz w:val="24"/>
                <w:szCs w:val="24"/>
              </w:rPr>
              <w:t xml:space="preserve"> to assess options</w:t>
            </w: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21B17350" w14:textId="77777777" w:rsidR="00923E24" w:rsidRPr="0099161A" w:rsidRDefault="00923E24" w:rsidP="00923E24">
            <w:pPr>
              <w:rPr>
                <w:rFonts w:cstheme="minorHAnsi"/>
                <w:sz w:val="24"/>
                <w:szCs w:val="24"/>
              </w:rPr>
            </w:pPr>
            <w:r w:rsidRPr="0099161A">
              <w:rPr>
                <w:rFonts w:cstheme="minorHAnsi"/>
                <w:sz w:val="24"/>
                <w:szCs w:val="24"/>
              </w:rPr>
              <w:t xml:space="preserve">Analyse </w:t>
            </w:r>
            <w:r w:rsidRPr="0099161A">
              <w:rPr>
                <w:rFonts w:cstheme="minorHAnsi"/>
                <w:sz w:val="24"/>
                <w:szCs w:val="24"/>
                <w:u w:val="single"/>
              </w:rPr>
              <w:t>value creation and distribution</w:t>
            </w:r>
            <w:r w:rsidRPr="0099161A">
              <w:rPr>
                <w:rFonts w:cstheme="minorHAnsi"/>
                <w:sz w:val="24"/>
                <w:szCs w:val="24"/>
              </w:rPr>
              <w:t xml:space="preserve"> to develop and assess options </w:t>
            </w:r>
          </w:p>
        </w:tc>
      </w:tr>
      <w:tr w:rsidR="00923E24" w:rsidRPr="0099161A" w14:paraId="31477651" w14:textId="77777777" w:rsidTr="00923E24">
        <w:trPr>
          <w:trHeight w:val="715"/>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65AF3E89" w14:textId="77777777" w:rsidR="00923E24" w:rsidRPr="0099161A" w:rsidRDefault="00923E24" w:rsidP="00923E24">
            <w:pPr>
              <w:rPr>
                <w:rFonts w:cstheme="minorHAnsi"/>
                <w:sz w:val="24"/>
                <w:szCs w:val="24"/>
              </w:rPr>
            </w:pPr>
            <w:r w:rsidRPr="0099161A">
              <w:rPr>
                <w:rFonts w:cstheme="minorHAnsi"/>
                <w:sz w:val="24"/>
                <w:szCs w:val="24"/>
              </w:rPr>
              <w:t>Theory of change is</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0EFF0B47" w14:textId="77777777" w:rsidR="00923E24" w:rsidRPr="0099161A" w:rsidRDefault="00923E24" w:rsidP="00923E24">
            <w:pPr>
              <w:rPr>
                <w:rFonts w:cstheme="minorHAnsi"/>
                <w:sz w:val="24"/>
                <w:szCs w:val="24"/>
              </w:rPr>
            </w:pPr>
            <w:r w:rsidRPr="0099161A">
              <w:rPr>
                <w:rFonts w:cstheme="minorHAnsi"/>
                <w:sz w:val="24"/>
                <w:szCs w:val="24"/>
                <w:u w:val="single"/>
              </w:rPr>
              <w:t>Static equilibrium</w:t>
            </w: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69605FC8" w14:textId="77777777" w:rsidR="00923E24" w:rsidRPr="0099161A" w:rsidRDefault="00923E24" w:rsidP="00923E24">
            <w:pPr>
              <w:rPr>
                <w:rFonts w:cstheme="minorHAnsi"/>
                <w:sz w:val="24"/>
                <w:szCs w:val="24"/>
              </w:rPr>
            </w:pPr>
            <w:r w:rsidRPr="0099161A">
              <w:rPr>
                <w:rFonts w:cstheme="minorHAnsi"/>
                <w:sz w:val="24"/>
                <w:szCs w:val="24"/>
                <w:u w:val="single"/>
              </w:rPr>
              <w:t>Dynamic process</w:t>
            </w:r>
          </w:p>
        </w:tc>
      </w:tr>
      <w:tr w:rsidR="00923E24" w:rsidRPr="0099161A" w14:paraId="3D87B001" w14:textId="77777777" w:rsidTr="00923E24">
        <w:trPr>
          <w:trHeight w:val="715"/>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1D92C22B" w14:textId="77777777" w:rsidR="00923E24" w:rsidRPr="0099161A" w:rsidRDefault="00923E24" w:rsidP="00923E24">
            <w:pPr>
              <w:rPr>
                <w:rFonts w:cstheme="minorHAnsi"/>
                <w:sz w:val="24"/>
                <w:szCs w:val="24"/>
              </w:rPr>
            </w:pPr>
            <w:r w:rsidRPr="0099161A">
              <w:rPr>
                <w:rFonts w:cstheme="minorHAnsi"/>
                <w:sz w:val="24"/>
                <w:szCs w:val="24"/>
              </w:rPr>
              <w:t>Decision-making under…</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222F9CB4" w14:textId="77777777" w:rsidR="00923E24" w:rsidRPr="0099161A" w:rsidRDefault="00923E24" w:rsidP="00923E24">
            <w:pPr>
              <w:rPr>
                <w:rFonts w:cstheme="minorHAnsi"/>
                <w:sz w:val="24"/>
                <w:szCs w:val="24"/>
              </w:rPr>
            </w:pPr>
            <w:r w:rsidRPr="0099161A">
              <w:rPr>
                <w:rFonts w:cstheme="minorHAnsi"/>
                <w:sz w:val="24"/>
                <w:szCs w:val="24"/>
                <w:u w:val="single"/>
              </w:rPr>
              <w:t>Probabilistic risk</w:t>
            </w: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179B57E5" w14:textId="77777777" w:rsidR="00923E24" w:rsidRPr="0099161A" w:rsidRDefault="00923E24" w:rsidP="00923E24">
            <w:pPr>
              <w:rPr>
                <w:rFonts w:cstheme="minorHAnsi"/>
                <w:sz w:val="24"/>
                <w:szCs w:val="24"/>
              </w:rPr>
            </w:pPr>
            <w:r w:rsidRPr="0099161A">
              <w:rPr>
                <w:rFonts w:cstheme="minorHAnsi"/>
                <w:sz w:val="24"/>
                <w:szCs w:val="24"/>
                <w:u w:val="single"/>
              </w:rPr>
              <w:t>Fundamental uncertainty</w:t>
            </w:r>
          </w:p>
        </w:tc>
      </w:tr>
      <w:tr w:rsidR="00923E24" w:rsidRPr="0099161A" w14:paraId="6752117C" w14:textId="77777777" w:rsidTr="00923E24">
        <w:trPr>
          <w:trHeight w:val="1062"/>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1977D89A" w14:textId="77777777" w:rsidR="00923E24" w:rsidRPr="0099161A" w:rsidRDefault="00923E24" w:rsidP="00923E24">
            <w:pPr>
              <w:rPr>
                <w:rFonts w:cstheme="minorHAnsi"/>
                <w:sz w:val="24"/>
                <w:szCs w:val="24"/>
              </w:rPr>
            </w:pPr>
            <w:r w:rsidRPr="0099161A">
              <w:rPr>
                <w:rFonts w:cstheme="minorHAnsi"/>
                <w:sz w:val="24"/>
                <w:szCs w:val="24"/>
              </w:rPr>
              <w:t>Preferences are…</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25BD554D" w14:textId="77777777" w:rsidR="00923E24" w:rsidRPr="0099161A" w:rsidRDefault="00923E24" w:rsidP="00923E24">
            <w:pPr>
              <w:rPr>
                <w:rFonts w:cstheme="minorHAnsi"/>
                <w:sz w:val="24"/>
                <w:szCs w:val="24"/>
              </w:rPr>
            </w:pPr>
            <w:r w:rsidRPr="0099161A">
              <w:rPr>
                <w:rFonts w:cstheme="minorHAnsi"/>
                <w:sz w:val="24"/>
                <w:szCs w:val="24"/>
                <w:u w:val="single"/>
              </w:rPr>
              <w:t>Pre-given</w:t>
            </w:r>
            <w:r w:rsidRPr="0099161A">
              <w:rPr>
                <w:rFonts w:cstheme="minorHAnsi"/>
                <w:sz w:val="24"/>
                <w:szCs w:val="24"/>
              </w:rPr>
              <w:t xml:space="preserve"> and</w:t>
            </w:r>
            <w:r w:rsidRPr="0099161A">
              <w:rPr>
                <w:rFonts w:cstheme="minorHAnsi"/>
                <w:sz w:val="24"/>
                <w:szCs w:val="24"/>
                <w:u w:val="single"/>
              </w:rPr>
              <w:t xml:space="preserve"> unchanging</w:t>
            </w:r>
          </w:p>
          <w:p w14:paraId="6B7E3E24" w14:textId="77777777" w:rsidR="00923E24" w:rsidRPr="0099161A" w:rsidRDefault="00923E24" w:rsidP="00923E24">
            <w:pPr>
              <w:rPr>
                <w:rFonts w:cstheme="minorHAnsi"/>
                <w:sz w:val="24"/>
                <w:szCs w:val="24"/>
              </w:rPr>
            </w:pPr>
            <w:r w:rsidRPr="0099161A">
              <w:rPr>
                <w:rFonts w:cstheme="minorHAnsi"/>
                <w:sz w:val="24"/>
                <w:szCs w:val="24"/>
              </w:rPr>
              <w:t xml:space="preserve"> (‘exogenous’)</w:t>
            </w: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6522DCBE" w14:textId="77777777" w:rsidR="00923E24" w:rsidRPr="0099161A" w:rsidRDefault="00923E24" w:rsidP="00923E24">
            <w:pPr>
              <w:rPr>
                <w:rFonts w:cstheme="minorHAnsi"/>
                <w:sz w:val="24"/>
                <w:szCs w:val="24"/>
              </w:rPr>
            </w:pPr>
            <w:r w:rsidRPr="0099161A">
              <w:rPr>
                <w:rFonts w:cstheme="minorHAnsi"/>
                <w:sz w:val="24"/>
                <w:szCs w:val="24"/>
                <w:u w:val="single"/>
              </w:rPr>
              <w:t>Shaped by</w:t>
            </w:r>
            <w:r w:rsidRPr="0099161A">
              <w:rPr>
                <w:rFonts w:cstheme="minorHAnsi"/>
                <w:sz w:val="24"/>
                <w:szCs w:val="24"/>
              </w:rPr>
              <w:t xml:space="preserve">, and </w:t>
            </w:r>
            <w:r w:rsidRPr="0099161A">
              <w:rPr>
                <w:rFonts w:cstheme="minorHAnsi"/>
                <w:sz w:val="24"/>
                <w:szCs w:val="24"/>
                <w:u w:val="single"/>
              </w:rPr>
              <w:t>change with</w:t>
            </w:r>
            <w:r w:rsidRPr="0099161A">
              <w:rPr>
                <w:rFonts w:cstheme="minorHAnsi"/>
                <w:sz w:val="24"/>
                <w:szCs w:val="24"/>
              </w:rPr>
              <w:t xml:space="preserve">, </w:t>
            </w:r>
            <w:r w:rsidRPr="0099161A">
              <w:rPr>
                <w:rFonts w:cstheme="minorHAnsi"/>
                <w:sz w:val="24"/>
                <w:szCs w:val="24"/>
                <w:u w:val="single"/>
              </w:rPr>
              <w:t>provisioning</w:t>
            </w:r>
          </w:p>
          <w:p w14:paraId="057B53FF" w14:textId="77777777" w:rsidR="00923E24" w:rsidRPr="0099161A" w:rsidRDefault="00923E24" w:rsidP="00923E24">
            <w:pPr>
              <w:rPr>
                <w:rFonts w:cstheme="minorHAnsi"/>
                <w:sz w:val="24"/>
                <w:szCs w:val="24"/>
              </w:rPr>
            </w:pPr>
            <w:r w:rsidRPr="0099161A">
              <w:rPr>
                <w:rFonts w:cstheme="minorHAnsi"/>
                <w:sz w:val="24"/>
                <w:szCs w:val="24"/>
              </w:rPr>
              <w:t xml:space="preserve">(‘endogenous’) </w:t>
            </w:r>
          </w:p>
        </w:tc>
      </w:tr>
      <w:tr w:rsidR="00923E24" w:rsidRPr="0099161A" w14:paraId="0A7B2739" w14:textId="77777777" w:rsidTr="00923E24">
        <w:trPr>
          <w:trHeight w:val="1062"/>
        </w:trPr>
        <w:tc>
          <w:tcPr>
            <w:tcW w:w="2357" w:type="dxa"/>
            <w:tcBorders>
              <w:top w:val="single" w:sz="8" w:space="0" w:color="000000"/>
              <w:left w:val="single" w:sz="8" w:space="0" w:color="000000"/>
              <w:bottom w:val="single" w:sz="8" w:space="0" w:color="000000"/>
              <w:right w:val="single" w:sz="8" w:space="0" w:color="000000"/>
            </w:tcBorders>
            <w:shd w:val="clear" w:color="auto" w:fill="262626"/>
            <w:tcMar>
              <w:top w:w="25" w:type="dxa"/>
              <w:left w:w="178" w:type="dxa"/>
              <w:bottom w:w="0" w:type="dxa"/>
              <w:right w:w="178" w:type="dxa"/>
            </w:tcMar>
            <w:vAlign w:val="center"/>
            <w:hideMark/>
          </w:tcPr>
          <w:p w14:paraId="5275B68F" w14:textId="77777777" w:rsidR="00923E24" w:rsidRPr="0099161A" w:rsidRDefault="00923E24" w:rsidP="00923E24">
            <w:pPr>
              <w:rPr>
                <w:rFonts w:cstheme="minorHAnsi"/>
                <w:sz w:val="24"/>
                <w:szCs w:val="24"/>
              </w:rPr>
            </w:pPr>
            <w:r w:rsidRPr="0099161A">
              <w:rPr>
                <w:rFonts w:cstheme="minorHAnsi"/>
                <w:sz w:val="24"/>
                <w:szCs w:val="24"/>
              </w:rPr>
              <w:t xml:space="preserve">Applicable scale is… </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08E9771A" w14:textId="77777777" w:rsidR="00923E24" w:rsidRPr="0099161A" w:rsidRDefault="00923E24" w:rsidP="00923E24">
            <w:pPr>
              <w:rPr>
                <w:rFonts w:cstheme="minorHAnsi"/>
                <w:sz w:val="24"/>
                <w:szCs w:val="24"/>
              </w:rPr>
            </w:pPr>
            <w:r w:rsidRPr="0099161A">
              <w:rPr>
                <w:rFonts w:cstheme="minorHAnsi"/>
                <w:sz w:val="24"/>
                <w:szCs w:val="24"/>
                <w:u w:val="single"/>
              </w:rPr>
              <w:t>Small-scale</w:t>
            </w:r>
            <w:r w:rsidRPr="0099161A">
              <w:rPr>
                <w:rFonts w:cstheme="minorHAnsi"/>
                <w:sz w:val="24"/>
                <w:szCs w:val="24"/>
              </w:rPr>
              <w:t xml:space="preserve"> interventions impacting on </w:t>
            </w:r>
            <w:r w:rsidRPr="0099161A">
              <w:rPr>
                <w:rFonts w:cstheme="minorHAnsi"/>
                <w:sz w:val="24"/>
                <w:szCs w:val="24"/>
                <w:u w:val="single"/>
              </w:rPr>
              <w:t>part</w:t>
            </w:r>
            <w:r w:rsidRPr="0099161A">
              <w:rPr>
                <w:rFonts w:cstheme="minorHAnsi"/>
                <w:sz w:val="24"/>
                <w:szCs w:val="24"/>
              </w:rPr>
              <w:t xml:space="preserve"> of system (‘marginal’)</w:t>
            </w: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25" w:type="dxa"/>
              <w:left w:w="178" w:type="dxa"/>
              <w:bottom w:w="0" w:type="dxa"/>
              <w:right w:w="178" w:type="dxa"/>
            </w:tcMar>
            <w:vAlign w:val="center"/>
            <w:hideMark/>
          </w:tcPr>
          <w:p w14:paraId="7F8ACA2D" w14:textId="77777777" w:rsidR="00923E24" w:rsidRPr="0099161A" w:rsidRDefault="00923E24" w:rsidP="00923E24">
            <w:pPr>
              <w:rPr>
                <w:rFonts w:cstheme="minorHAnsi"/>
                <w:sz w:val="24"/>
                <w:szCs w:val="24"/>
              </w:rPr>
            </w:pPr>
            <w:r w:rsidRPr="0099161A">
              <w:rPr>
                <w:rFonts w:cstheme="minorHAnsi"/>
                <w:sz w:val="24"/>
                <w:szCs w:val="24"/>
                <w:u w:val="single"/>
              </w:rPr>
              <w:t>Large-scale</w:t>
            </w:r>
            <w:r w:rsidRPr="0099161A">
              <w:rPr>
                <w:rFonts w:cstheme="minorHAnsi"/>
                <w:sz w:val="24"/>
                <w:szCs w:val="24"/>
              </w:rPr>
              <w:t xml:space="preserve"> interventions impacting on </w:t>
            </w:r>
            <w:r w:rsidRPr="0099161A">
              <w:rPr>
                <w:rFonts w:cstheme="minorHAnsi"/>
                <w:sz w:val="24"/>
                <w:szCs w:val="24"/>
                <w:u w:val="single"/>
              </w:rPr>
              <w:t>system-of-systems</w:t>
            </w:r>
            <w:r w:rsidRPr="0099161A">
              <w:rPr>
                <w:rFonts w:cstheme="minorHAnsi"/>
                <w:sz w:val="24"/>
                <w:szCs w:val="24"/>
              </w:rPr>
              <w:t xml:space="preserve"> (‘non-marginal’)</w:t>
            </w:r>
          </w:p>
        </w:tc>
      </w:tr>
    </w:tbl>
    <w:p w14:paraId="336A7AA6" w14:textId="40050358" w:rsidR="003A5CA9" w:rsidRPr="0099161A" w:rsidRDefault="003A5CA9" w:rsidP="00E30149">
      <w:pPr>
        <w:rPr>
          <w:rFonts w:cstheme="minorHAnsi"/>
          <w:sz w:val="24"/>
          <w:szCs w:val="24"/>
        </w:rPr>
      </w:pPr>
    </w:p>
    <w:p w14:paraId="05D07FBE" w14:textId="0AA37EE4" w:rsidR="00B3640F" w:rsidRPr="0099161A" w:rsidRDefault="00B3640F" w:rsidP="003E040B">
      <w:pPr>
        <w:rPr>
          <w:rFonts w:cstheme="minorHAnsi"/>
          <w:sz w:val="24"/>
          <w:szCs w:val="24"/>
        </w:rPr>
      </w:pPr>
      <w:r w:rsidRPr="0099161A">
        <w:rPr>
          <w:rFonts w:cstheme="minorHAnsi"/>
          <w:sz w:val="24"/>
          <w:szCs w:val="24"/>
        </w:rPr>
        <w:t>The table can be explained as follows:</w:t>
      </w:r>
    </w:p>
    <w:p w14:paraId="5C03B565" w14:textId="3468790B" w:rsidR="003618FE" w:rsidRPr="0099161A" w:rsidRDefault="00C62AA7" w:rsidP="003E040B">
      <w:pPr>
        <w:rPr>
          <w:rFonts w:cstheme="minorHAnsi"/>
          <w:sz w:val="24"/>
          <w:szCs w:val="24"/>
        </w:rPr>
      </w:pPr>
      <w:r w:rsidRPr="0099161A">
        <w:rPr>
          <w:rFonts w:cstheme="minorHAnsi"/>
          <w:sz w:val="24"/>
          <w:szCs w:val="24"/>
        </w:rPr>
        <w:t>W</w:t>
      </w:r>
      <w:r w:rsidR="00E60E73" w:rsidRPr="0099161A">
        <w:rPr>
          <w:rFonts w:cstheme="minorHAnsi"/>
          <w:sz w:val="24"/>
          <w:szCs w:val="24"/>
        </w:rPr>
        <w:t>ellbeing not reducible to single dimension of money (first two rows of table)</w:t>
      </w:r>
      <w:r w:rsidR="00B3640F" w:rsidRPr="0099161A">
        <w:rPr>
          <w:rFonts w:cstheme="minorHAnsi"/>
          <w:sz w:val="24"/>
          <w:szCs w:val="24"/>
        </w:rPr>
        <w:t>:</w:t>
      </w:r>
      <w:r w:rsidR="005D42C7" w:rsidRPr="0099161A">
        <w:rPr>
          <w:rFonts w:cstheme="minorHAnsi"/>
          <w:sz w:val="24"/>
          <w:szCs w:val="24"/>
        </w:rPr>
        <w:t xml:space="preserve"> </w:t>
      </w:r>
    </w:p>
    <w:p w14:paraId="6BA42F70" w14:textId="15ACE6E8" w:rsidR="005D42C7" w:rsidRPr="0099161A" w:rsidRDefault="00C62AA7" w:rsidP="003E040B">
      <w:pPr>
        <w:rPr>
          <w:rFonts w:cstheme="minorHAnsi"/>
          <w:i/>
          <w:iCs/>
          <w:sz w:val="24"/>
          <w:szCs w:val="24"/>
        </w:rPr>
      </w:pPr>
      <w:r w:rsidRPr="0099161A">
        <w:rPr>
          <w:rFonts w:cstheme="minorHAnsi"/>
          <w:i/>
          <w:iCs/>
          <w:sz w:val="24"/>
          <w:szCs w:val="24"/>
        </w:rPr>
        <w:t>…B</w:t>
      </w:r>
      <w:r w:rsidR="00B3640F" w:rsidRPr="0099161A">
        <w:rPr>
          <w:rFonts w:cstheme="minorHAnsi"/>
          <w:i/>
          <w:iCs/>
          <w:sz w:val="24"/>
          <w:szCs w:val="24"/>
        </w:rPr>
        <w:t xml:space="preserve">rief </w:t>
      </w:r>
      <w:r w:rsidR="003618FE" w:rsidRPr="0099161A">
        <w:rPr>
          <w:rFonts w:cstheme="minorHAnsi"/>
          <w:i/>
          <w:iCs/>
          <w:sz w:val="24"/>
          <w:szCs w:val="24"/>
        </w:rPr>
        <w:t xml:space="preserve">explanation with </w:t>
      </w:r>
      <w:r w:rsidR="006B2EDA" w:rsidRPr="0099161A">
        <w:rPr>
          <w:rFonts w:cstheme="minorHAnsi"/>
          <w:i/>
          <w:iCs/>
          <w:sz w:val="24"/>
          <w:szCs w:val="24"/>
        </w:rPr>
        <w:t>refs to PERN research</w:t>
      </w:r>
      <w:r w:rsidRPr="0099161A">
        <w:rPr>
          <w:rFonts w:cstheme="minorHAnsi"/>
          <w:i/>
          <w:iCs/>
          <w:sz w:val="24"/>
          <w:szCs w:val="24"/>
        </w:rPr>
        <w:t>…</w:t>
      </w:r>
    </w:p>
    <w:p w14:paraId="252310B3" w14:textId="77777777" w:rsidR="00C62AA7" w:rsidRPr="0099161A" w:rsidRDefault="00C62AA7" w:rsidP="003E040B">
      <w:pPr>
        <w:rPr>
          <w:rFonts w:cstheme="minorHAnsi"/>
          <w:i/>
          <w:iCs/>
          <w:sz w:val="24"/>
          <w:szCs w:val="24"/>
        </w:rPr>
      </w:pPr>
    </w:p>
    <w:p w14:paraId="7909627E" w14:textId="7E982906" w:rsidR="005D42C7" w:rsidRPr="0099161A" w:rsidRDefault="004A1388" w:rsidP="003E040B">
      <w:pPr>
        <w:rPr>
          <w:rFonts w:cstheme="minorHAnsi"/>
          <w:sz w:val="24"/>
          <w:szCs w:val="24"/>
        </w:rPr>
      </w:pPr>
      <w:r w:rsidRPr="0099161A">
        <w:rPr>
          <w:rFonts w:cstheme="minorHAnsi"/>
          <w:sz w:val="24"/>
          <w:szCs w:val="24"/>
        </w:rPr>
        <w:t>Visions and basic principle</w:t>
      </w:r>
      <w:r w:rsidR="005D42C7" w:rsidRPr="0099161A">
        <w:rPr>
          <w:rFonts w:cstheme="minorHAnsi"/>
          <w:sz w:val="24"/>
          <w:szCs w:val="24"/>
        </w:rPr>
        <w:t xml:space="preserve"> (rows 3-4)</w:t>
      </w:r>
      <w:r w:rsidR="00B3640F" w:rsidRPr="0099161A">
        <w:rPr>
          <w:rFonts w:cstheme="minorHAnsi"/>
          <w:sz w:val="24"/>
          <w:szCs w:val="24"/>
        </w:rPr>
        <w:t xml:space="preserve">: </w:t>
      </w:r>
    </w:p>
    <w:p w14:paraId="158635B0" w14:textId="6D30E9F2" w:rsidR="004A1388" w:rsidRPr="0099161A" w:rsidRDefault="00B3640F" w:rsidP="003E040B">
      <w:pPr>
        <w:rPr>
          <w:rFonts w:cstheme="minorHAnsi"/>
          <w:sz w:val="24"/>
          <w:szCs w:val="24"/>
        </w:rPr>
      </w:pPr>
      <w:r w:rsidRPr="0099161A">
        <w:rPr>
          <w:rFonts w:cstheme="minorHAnsi"/>
          <w:i/>
          <w:iCs/>
          <w:sz w:val="24"/>
          <w:szCs w:val="24"/>
        </w:rPr>
        <w:t>…Brief explanation</w:t>
      </w:r>
      <w:r w:rsidR="003618FE" w:rsidRPr="0099161A">
        <w:rPr>
          <w:rFonts w:cstheme="minorHAnsi"/>
          <w:i/>
          <w:iCs/>
          <w:sz w:val="24"/>
          <w:szCs w:val="24"/>
        </w:rPr>
        <w:t xml:space="preserve"> with refers to PERN research</w:t>
      </w:r>
      <w:r w:rsidR="00C62AA7" w:rsidRPr="0099161A">
        <w:rPr>
          <w:rFonts w:cstheme="minorHAnsi"/>
          <w:i/>
          <w:iCs/>
          <w:sz w:val="24"/>
          <w:szCs w:val="24"/>
        </w:rPr>
        <w:t>…</w:t>
      </w:r>
    </w:p>
    <w:p w14:paraId="45AE2E84" w14:textId="77777777" w:rsidR="005D42C7" w:rsidRPr="0099161A" w:rsidRDefault="005D42C7" w:rsidP="003E040B">
      <w:pPr>
        <w:rPr>
          <w:rFonts w:cstheme="minorHAnsi"/>
          <w:sz w:val="24"/>
          <w:szCs w:val="24"/>
        </w:rPr>
      </w:pPr>
    </w:p>
    <w:p w14:paraId="5C735F70" w14:textId="2FA185BB" w:rsidR="006B2EDA" w:rsidRPr="0099161A" w:rsidRDefault="006B2EDA" w:rsidP="003E040B">
      <w:pPr>
        <w:rPr>
          <w:rFonts w:cstheme="minorHAnsi"/>
          <w:sz w:val="24"/>
          <w:szCs w:val="24"/>
        </w:rPr>
      </w:pPr>
      <w:r w:rsidRPr="0099161A">
        <w:rPr>
          <w:rFonts w:cstheme="minorHAnsi"/>
          <w:sz w:val="24"/>
          <w:szCs w:val="24"/>
        </w:rPr>
        <w:t>Theory of change</w:t>
      </w:r>
      <w:r w:rsidR="005D42C7" w:rsidRPr="0099161A">
        <w:rPr>
          <w:rFonts w:cstheme="minorHAnsi"/>
          <w:sz w:val="24"/>
          <w:szCs w:val="24"/>
        </w:rPr>
        <w:t xml:space="preserve"> (row 5)</w:t>
      </w:r>
      <w:r w:rsidRPr="0099161A">
        <w:rPr>
          <w:rFonts w:cstheme="minorHAnsi"/>
          <w:sz w:val="24"/>
          <w:szCs w:val="24"/>
        </w:rPr>
        <w:t>:</w:t>
      </w:r>
    </w:p>
    <w:p w14:paraId="31558ECE" w14:textId="4E42A03F" w:rsidR="006B2EDA" w:rsidRPr="0099161A" w:rsidRDefault="006B2EDA" w:rsidP="003E040B">
      <w:pPr>
        <w:rPr>
          <w:rFonts w:cstheme="minorHAnsi"/>
          <w:i/>
          <w:iCs/>
          <w:sz w:val="24"/>
          <w:szCs w:val="24"/>
        </w:rPr>
      </w:pPr>
      <w:r w:rsidRPr="0099161A">
        <w:rPr>
          <w:rFonts w:cstheme="minorHAnsi"/>
          <w:i/>
          <w:iCs/>
          <w:sz w:val="24"/>
          <w:szCs w:val="24"/>
        </w:rPr>
        <w:t>…Brief Explanation</w:t>
      </w:r>
      <w:r w:rsidR="003618FE" w:rsidRPr="0099161A">
        <w:rPr>
          <w:rFonts w:cstheme="minorHAnsi"/>
          <w:i/>
          <w:iCs/>
          <w:sz w:val="24"/>
          <w:szCs w:val="24"/>
        </w:rPr>
        <w:t xml:space="preserve"> with refs to PERN research</w:t>
      </w:r>
      <w:r w:rsidR="00C62AA7" w:rsidRPr="0099161A">
        <w:rPr>
          <w:rFonts w:cstheme="minorHAnsi"/>
          <w:i/>
          <w:iCs/>
          <w:sz w:val="24"/>
          <w:szCs w:val="24"/>
        </w:rPr>
        <w:t>…</w:t>
      </w:r>
    </w:p>
    <w:p w14:paraId="68D83C58" w14:textId="77777777" w:rsidR="005D42C7" w:rsidRPr="0099161A" w:rsidRDefault="005D42C7" w:rsidP="003E040B">
      <w:pPr>
        <w:rPr>
          <w:rFonts w:cstheme="minorHAnsi"/>
          <w:sz w:val="24"/>
          <w:szCs w:val="24"/>
        </w:rPr>
      </w:pPr>
    </w:p>
    <w:p w14:paraId="5A6A4BED" w14:textId="1890A729" w:rsidR="006B2EDA" w:rsidRPr="0099161A" w:rsidRDefault="006B2EDA" w:rsidP="003E040B">
      <w:pPr>
        <w:rPr>
          <w:rFonts w:cstheme="minorHAnsi"/>
          <w:sz w:val="24"/>
          <w:szCs w:val="24"/>
        </w:rPr>
      </w:pPr>
      <w:r w:rsidRPr="0099161A">
        <w:rPr>
          <w:rFonts w:cstheme="minorHAnsi"/>
          <w:sz w:val="24"/>
          <w:szCs w:val="24"/>
        </w:rPr>
        <w:t>Decision-making under uncertainty</w:t>
      </w:r>
      <w:r w:rsidR="005D42C7" w:rsidRPr="0099161A">
        <w:rPr>
          <w:rFonts w:cstheme="minorHAnsi"/>
          <w:sz w:val="24"/>
          <w:szCs w:val="24"/>
        </w:rPr>
        <w:t xml:space="preserve"> (row 6)</w:t>
      </w:r>
      <w:r w:rsidRPr="0099161A">
        <w:rPr>
          <w:rFonts w:cstheme="minorHAnsi"/>
          <w:sz w:val="24"/>
          <w:szCs w:val="24"/>
        </w:rPr>
        <w:t>:</w:t>
      </w:r>
    </w:p>
    <w:p w14:paraId="5FA346FF" w14:textId="35F03716" w:rsidR="006B2EDA" w:rsidRPr="0099161A" w:rsidRDefault="006B2EDA" w:rsidP="003E040B">
      <w:pPr>
        <w:rPr>
          <w:rFonts w:cstheme="minorHAnsi"/>
          <w:i/>
          <w:iCs/>
          <w:sz w:val="24"/>
          <w:szCs w:val="24"/>
        </w:rPr>
      </w:pPr>
      <w:r w:rsidRPr="0099161A">
        <w:rPr>
          <w:rFonts w:cstheme="minorHAnsi"/>
          <w:sz w:val="24"/>
          <w:szCs w:val="24"/>
        </w:rPr>
        <w:t>…</w:t>
      </w:r>
      <w:r w:rsidRPr="0099161A">
        <w:rPr>
          <w:rFonts w:cstheme="minorHAnsi"/>
          <w:i/>
          <w:iCs/>
          <w:sz w:val="24"/>
          <w:szCs w:val="24"/>
        </w:rPr>
        <w:t>Brief explanation</w:t>
      </w:r>
      <w:r w:rsidR="003618FE" w:rsidRPr="0099161A">
        <w:rPr>
          <w:rFonts w:cstheme="minorHAnsi"/>
          <w:i/>
          <w:iCs/>
          <w:sz w:val="24"/>
          <w:szCs w:val="24"/>
        </w:rPr>
        <w:t xml:space="preserve"> with</w:t>
      </w:r>
      <w:r w:rsidR="00A83786" w:rsidRPr="0099161A">
        <w:rPr>
          <w:rFonts w:cstheme="minorHAnsi"/>
          <w:i/>
          <w:iCs/>
          <w:sz w:val="24"/>
          <w:szCs w:val="24"/>
        </w:rPr>
        <w:t xml:space="preserve"> r</w:t>
      </w:r>
      <w:r w:rsidR="003618FE" w:rsidRPr="0099161A">
        <w:rPr>
          <w:rFonts w:cstheme="minorHAnsi"/>
          <w:i/>
          <w:iCs/>
          <w:sz w:val="24"/>
          <w:szCs w:val="24"/>
        </w:rPr>
        <w:t>e</w:t>
      </w:r>
      <w:r w:rsidR="00A83786" w:rsidRPr="0099161A">
        <w:rPr>
          <w:rFonts w:cstheme="minorHAnsi"/>
          <w:i/>
          <w:iCs/>
          <w:sz w:val="24"/>
          <w:szCs w:val="24"/>
        </w:rPr>
        <w:t>f</w:t>
      </w:r>
      <w:r w:rsidR="003F34C4" w:rsidRPr="0099161A">
        <w:rPr>
          <w:rFonts w:cstheme="minorHAnsi"/>
          <w:i/>
          <w:iCs/>
          <w:sz w:val="24"/>
          <w:szCs w:val="24"/>
        </w:rPr>
        <w:t>s</w:t>
      </w:r>
      <w:r w:rsidR="00A83786" w:rsidRPr="0099161A">
        <w:rPr>
          <w:rFonts w:cstheme="minorHAnsi"/>
          <w:i/>
          <w:iCs/>
          <w:sz w:val="24"/>
          <w:szCs w:val="24"/>
        </w:rPr>
        <w:t xml:space="preserve"> to PERN research</w:t>
      </w:r>
      <w:r w:rsidR="00C62AA7" w:rsidRPr="0099161A">
        <w:rPr>
          <w:rFonts w:cstheme="minorHAnsi"/>
          <w:i/>
          <w:iCs/>
          <w:sz w:val="24"/>
          <w:szCs w:val="24"/>
        </w:rPr>
        <w:t>…</w:t>
      </w:r>
    </w:p>
    <w:p w14:paraId="6E797BCC" w14:textId="77777777" w:rsidR="005D42C7" w:rsidRPr="0099161A" w:rsidRDefault="005D42C7" w:rsidP="003E040B">
      <w:pPr>
        <w:rPr>
          <w:rFonts w:cstheme="minorHAnsi"/>
          <w:sz w:val="24"/>
          <w:szCs w:val="24"/>
        </w:rPr>
      </w:pPr>
    </w:p>
    <w:p w14:paraId="579AA0BB" w14:textId="77777777" w:rsidR="00A32A66" w:rsidRPr="0099161A" w:rsidRDefault="005D42C7" w:rsidP="003E040B">
      <w:pPr>
        <w:rPr>
          <w:rFonts w:cstheme="minorHAnsi"/>
          <w:sz w:val="24"/>
          <w:szCs w:val="24"/>
        </w:rPr>
      </w:pPr>
      <w:r w:rsidRPr="0099161A">
        <w:rPr>
          <w:rFonts w:cstheme="minorHAnsi"/>
          <w:sz w:val="24"/>
          <w:szCs w:val="24"/>
        </w:rPr>
        <w:t>Preference shaping (row 7)</w:t>
      </w:r>
    </w:p>
    <w:p w14:paraId="5AD31E88" w14:textId="72803987" w:rsidR="00A32A66" w:rsidRPr="0099161A" w:rsidRDefault="003F34C4" w:rsidP="003E040B">
      <w:pPr>
        <w:rPr>
          <w:rFonts w:cstheme="minorHAnsi"/>
          <w:i/>
          <w:iCs/>
          <w:sz w:val="24"/>
          <w:szCs w:val="24"/>
        </w:rPr>
      </w:pPr>
      <w:r w:rsidRPr="0099161A">
        <w:rPr>
          <w:rFonts w:cstheme="minorHAnsi"/>
          <w:i/>
          <w:iCs/>
          <w:sz w:val="24"/>
          <w:szCs w:val="24"/>
        </w:rPr>
        <w:t>…</w:t>
      </w:r>
      <w:r w:rsidR="00A32A66" w:rsidRPr="0099161A">
        <w:rPr>
          <w:rFonts w:cstheme="minorHAnsi"/>
          <w:i/>
          <w:iCs/>
          <w:sz w:val="24"/>
          <w:szCs w:val="24"/>
        </w:rPr>
        <w:t>Br</w:t>
      </w:r>
      <w:r w:rsidR="003618FE" w:rsidRPr="0099161A">
        <w:rPr>
          <w:rFonts w:cstheme="minorHAnsi"/>
          <w:i/>
          <w:iCs/>
          <w:sz w:val="24"/>
          <w:szCs w:val="24"/>
        </w:rPr>
        <w:t>i</w:t>
      </w:r>
      <w:r w:rsidR="00A32A66" w:rsidRPr="0099161A">
        <w:rPr>
          <w:rFonts w:cstheme="minorHAnsi"/>
          <w:i/>
          <w:iCs/>
          <w:sz w:val="24"/>
          <w:szCs w:val="24"/>
        </w:rPr>
        <w:t>ef explanation</w:t>
      </w:r>
      <w:r w:rsidRPr="0099161A">
        <w:rPr>
          <w:rFonts w:cstheme="minorHAnsi"/>
          <w:i/>
          <w:iCs/>
          <w:sz w:val="24"/>
          <w:szCs w:val="24"/>
        </w:rPr>
        <w:t xml:space="preserve"> with</w:t>
      </w:r>
      <w:r w:rsidR="00A32A66" w:rsidRPr="0099161A">
        <w:rPr>
          <w:rFonts w:cstheme="minorHAnsi"/>
          <w:i/>
          <w:iCs/>
          <w:sz w:val="24"/>
          <w:szCs w:val="24"/>
        </w:rPr>
        <w:t xml:space="preserve"> refs to PERN research</w:t>
      </w:r>
      <w:r w:rsidR="00C62AA7" w:rsidRPr="0099161A">
        <w:rPr>
          <w:rFonts w:cstheme="minorHAnsi"/>
          <w:i/>
          <w:iCs/>
          <w:sz w:val="24"/>
          <w:szCs w:val="24"/>
        </w:rPr>
        <w:t>…</w:t>
      </w:r>
    </w:p>
    <w:p w14:paraId="4BE3A991" w14:textId="31B429DD" w:rsidR="00A32A66" w:rsidRPr="0099161A" w:rsidRDefault="00A32A66" w:rsidP="003E040B">
      <w:pPr>
        <w:rPr>
          <w:rFonts w:cstheme="minorHAnsi"/>
          <w:sz w:val="24"/>
          <w:szCs w:val="24"/>
        </w:rPr>
      </w:pPr>
    </w:p>
    <w:p w14:paraId="2B554928" w14:textId="7F018459" w:rsidR="00A32A66" w:rsidRPr="0099161A" w:rsidRDefault="00A32A66" w:rsidP="003E040B">
      <w:pPr>
        <w:rPr>
          <w:rFonts w:cstheme="minorHAnsi"/>
          <w:sz w:val="24"/>
          <w:szCs w:val="24"/>
        </w:rPr>
      </w:pPr>
      <w:r w:rsidRPr="0099161A">
        <w:rPr>
          <w:rFonts w:cstheme="minorHAnsi"/>
          <w:sz w:val="24"/>
          <w:szCs w:val="24"/>
        </w:rPr>
        <w:t>Scale of applicab</w:t>
      </w:r>
      <w:r w:rsidR="003F34C4" w:rsidRPr="0099161A">
        <w:rPr>
          <w:rFonts w:cstheme="minorHAnsi"/>
          <w:sz w:val="24"/>
          <w:szCs w:val="24"/>
        </w:rPr>
        <w:t>i</w:t>
      </w:r>
      <w:r w:rsidRPr="0099161A">
        <w:rPr>
          <w:rFonts w:cstheme="minorHAnsi"/>
          <w:sz w:val="24"/>
          <w:szCs w:val="24"/>
        </w:rPr>
        <w:t>lity (row 8)</w:t>
      </w:r>
    </w:p>
    <w:p w14:paraId="748262CB" w14:textId="71193353" w:rsidR="003618FE" w:rsidRPr="0099161A" w:rsidRDefault="00A32A66" w:rsidP="003E040B">
      <w:pPr>
        <w:rPr>
          <w:rFonts w:cstheme="minorHAnsi"/>
          <w:i/>
          <w:iCs/>
          <w:sz w:val="24"/>
          <w:szCs w:val="24"/>
        </w:rPr>
      </w:pPr>
      <w:r w:rsidRPr="0099161A">
        <w:rPr>
          <w:rFonts w:cstheme="minorHAnsi"/>
          <w:sz w:val="24"/>
          <w:szCs w:val="24"/>
        </w:rPr>
        <w:t>…</w:t>
      </w:r>
      <w:r w:rsidR="003618FE" w:rsidRPr="0099161A">
        <w:rPr>
          <w:rFonts w:cstheme="minorHAnsi"/>
          <w:sz w:val="24"/>
          <w:szCs w:val="24"/>
        </w:rPr>
        <w:t xml:space="preserve"> </w:t>
      </w:r>
      <w:r w:rsidR="003618FE" w:rsidRPr="0099161A">
        <w:rPr>
          <w:rFonts w:cstheme="minorHAnsi"/>
          <w:i/>
          <w:iCs/>
          <w:sz w:val="24"/>
          <w:szCs w:val="24"/>
        </w:rPr>
        <w:t xml:space="preserve">brief explanation </w:t>
      </w:r>
      <w:r w:rsidR="003F34C4" w:rsidRPr="0099161A">
        <w:rPr>
          <w:rFonts w:cstheme="minorHAnsi"/>
          <w:i/>
          <w:iCs/>
          <w:sz w:val="24"/>
          <w:szCs w:val="24"/>
        </w:rPr>
        <w:t>with</w:t>
      </w:r>
      <w:r w:rsidR="003618FE" w:rsidRPr="0099161A">
        <w:rPr>
          <w:rFonts w:cstheme="minorHAnsi"/>
          <w:i/>
          <w:iCs/>
          <w:sz w:val="24"/>
          <w:szCs w:val="24"/>
        </w:rPr>
        <w:t xml:space="preserve"> refs to PERN research</w:t>
      </w:r>
      <w:r w:rsidR="00C62AA7" w:rsidRPr="0099161A">
        <w:rPr>
          <w:rFonts w:cstheme="minorHAnsi"/>
          <w:i/>
          <w:iCs/>
          <w:sz w:val="24"/>
          <w:szCs w:val="24"/>
        </w:rPr>
        <w:t>…</w:t>
      </w:r>
    </w:p>
    <w:p w14:paraId="436A5171" w14:textId="6ED2FDF2" w:rsidR="003618FE" w:rsidRPr="0099161A" w:rsidRDefault="003618FE" w:rsidP="003E040B">
      <w:pPr>
        <w:rPr>
          <w:rFonts w:cstheme="minorHAnsi"/>
          <w:i/>
          <w:iCs/>
          <w:sz w:val="24"/>
          <w:szCs w:val="24"/>
        </w:rPr>
      </w:pPr>
    </w:p>
    <w:p w14:paraId="26EA74D7" w14:textId="71AB93A4" w:rsidR="000C3BAA" w:rsidRPr="0099161A" w:rsidRDefault="000C3BAA" w:rsidP="001E756A">
      <w:pPr>
        <w:jc w:val="both"/>
        <w:rPr>
          <w:rFonts w:cstheme="minorHAnsi"/>
          <w:sz w:val="24"/>
          <w:szCs w:val="24"/>
        </w:rPr>
      </w:pPr>
      <w:r w:rsidRPr="0099161A">
        <w:rPr>
          <w:rFonts w:cstheme="minorHAnsi"/>
          <w:sz w:val="24"/>
          <w:szCs w:val="24"/>
        </w:rPr>
        <w:t xml:space="preserve">Infrastructure typically displays characteristics that fit the ‘system-of-system’ assumptions. One example discussed in chapter 3 above is that of housing retrofitting schemes. Below, we take as an example the typical characteristics </w:t>
      </w:r>
      <w:r w:rsidR="007A1D5F" w:rsidRPr="0099161A">
        <w:rPr>
          <w:rFonts w:cstheme="minorHAnsi"/>
          <w:sz w:val="24"/>
          <w:szCs w:val="24"/>
        </w:rPr>
        <w:t xml:space="preserve">of </w:t>
      </w:r>
      <w:r w:rsidRPr="0099161A">
        <w:rPr>
          <w:rFonts w:cstheme="minorHAnsi"/>
          <w:sz w:val="24"/>
          <w:szCs w:val="24"/>
        </w:rPr>
        <w:t xml:space="preserve">‘Green and Blue infrastructure’ (GBI)). </w:t>
      </w:r>
    </w:p>
    <w:p w14:paraId="7F05D3CD" w14:textId="10A50CD8" w:rsidR="001E756A" w:rsidRPr="0099161A" w:rsidRDefault="009C232E" w:rsidP="001E756A">
      <w:pPr>
        <w:jc w:val="both"/>
        <w:rPr>
          <w:rFonts w:cstheme="minorHAnsi"/>
          <w:b/>
          <w:bCs/>
          <w:sz w:val="24"/>
          <w:szCs w:val="24"/>
        </w:rPr>
      </w:pPr>
      <w:r w:rsidRPr="0099161A">
        <w:rPr>
          <w:rFonts w:cstheme="minorHAnsi"/>
          <w:b/>
          <w:bCs/>
          <w:sz w:val="24"/>
          <w:szCs w:val="24"/>
        </w:rPr>
        <w:t>System-of-system r</w:t>
      </w:r>
      <w:r w:rsidR="00C62AA7" w:rsidRPr="0099161A">
        <w:rPr>
          <w:rFonts w:cstheme="minorHAnsi"/>
          <w:b/>
          <w:bCs/>
          <w:sz w:val="24"/>
          <w:szCs w:val="24"/>
        </w:rPr>
        <w:t>ecommendations</w:t>
      </w:r>
      <w:r w:rsidRPr="0099161A">
        <w:rPr>
          <w:rFonts w:cstheme="minorHAnsi"/>
          <w:b/>
          <w:bCs/>
          <w:sz w:val="24"/>
          <w:szCs w:val="24"/>
        </w:rPr>
        <w:t>: the example of Green and Blue infrastructure</w:t>
      </w:r>
      <w:r w:rsidR="00966570" w:rsidRPr="0099161A">
        <w:rPr>
          <w:rFonts w:cstheme="minorHAnsi"/>
          <w:b/>
          <w:bCs/>
          <w:sz w:val="24"/>
          <w:szCs w:val="24"/>
        </w:rPr>
        <w:t xml:space="preserve"> (GBI)</w:t>
      </w:r>
    </w:p>
    <w:p w14:paraId="7EAD820B" w14:textId="5D0A27D8" w:rsidR="005862CE" w:rsidRPr="0099161A" w:rsidRDefault="007D6930" w:rsidP="005862CE">
      <w:pPr>
        <w:jc w:val="both"/>
        <w:rPr>
          <w:rFonts w:cstheme="minorHAnsi"/>
          <w:sz w:val="24"/>
          <w:szCs w:val="24"/>
        </w:rPr>
      </w:pPr>
      <w:r w:rsidRPr="0099161A">
        <w:rPr>
          <w:rFonts w:cstheme="minorHAnsi"/>
          <w:sz w:val="24"/>
          <w:szCs w:val="24"/>
        </w:rPr>
        <w:t>GBI centrally involves ecological-economic interdependencies that</w:t>
      </w:r>
      <w:r w:rsidR="00A70712" w:rsidRPr="0099161A">
        <w:rPr>
          <w:rFonts w:cstheme="minorHAnsi"/>
          <w:sz w:val="24"/>
          <w:szCs w:val="24"/>
        </w:rPr>
        <w:t xml:space="preserve"> are large-scale and irreversible </w:t>
      </w:r>
      <w:r w:rsidR="003D0B9B" w:rsidRPr="0099161A">
        <w:rPr>
          <w:rFonts w:cstheme="minorHAnsi"/>
          <w:sz w:val="24"/>
          <w:szCs w:val="24"/>
        </w:rPr>
        <w:t>in nature. This</w:t>
      </w:r>
      <w:r w:rsidRPr="0099161A">
        <w:rPr>
          <w:rFonts w:cstheme="minorHAnsi"/>
          <w:sz w:val="24"/>
          <w:szCs w:val="24"/>
        </w:rPr>
        <w:t xml:space="preserve"> make</w:t>
      </w:r>
      <w:r w:rsidR="003D0B9B" w:rsidRPr="0099161A">
        <w:rPr>
          <w:rFonts w:cstheme="minorHAnsi"/>
          <w:sz w:val="24"/>
          <w:szCs w:val="24"/>
        </w:rPr>
        <w:t>s</w:t>
      </w:r>
      <w:r w:rsidRPr="0099161A">
        <w:rPr>
          <w:rFonts w:cstheme="minorHAnsi"/>
          <w:sz w:val="24"/>
          <w:szCs w:val="24"/>
        </w:rPr>
        <w:t xml:space="preserve"> ‘fit’ with standard value theory very difficult</w:t>
      </w:r>
      <w:r w:rsidR="00820C8E" w:rsidRPr="0099161A">
        <w:rPr>
          <w:rFonts w:cstheme="minorHAnsi"/>
          <w:sz w:val="24"/>
          <w:szCs w:val="24"/>
        </w:rPr>
        <w:t xml:space="preserve"> because t</w:t>
      </w:r>
      <w:r w:rsidR="005862CE" w:rsidRPr="0099161A">
        <w:rPr>
          <w:rFonts w:cstheme="minorHAnsi"/>
          <w:sz w:val="24"/>
          <w:szCs w:val="24"/>
        </w:rPr>
        <w:t>he crux our comparison (see the final row of the table) is that:</w:t>
      </w:r>
    </w:p>
    <w:p w14:paraId="6162CA78" w14:textId="77777777" w:rsidR="005862CE" w:rsidRPr="0099161A" w:rsidRDefault="005862CE" w:rsidP="005862CE">
      <w:pPr>
        <w:pStyle w:val="ListParagraph"/>
        <w:numPr>
          <w:ilvl w:val="0"/>
          <w:numId w:val="13"/>
        </w:numPr>
        <w:jc w:val="both"/>
        <w:rPr>
          <w:rFonts w:cstheme="minorHAnsi"/>
          <w:sz w:val="24"/>
          <w:szCs w:val="24"/>
        </w:rPr>
      </w:pPr>
      <w:r w:rsidRPr="0099161A">
        <w:rPr>
          <w:rFonts w:cstheme="minorHAnsi"/>
          <w:b/>
          <w:bCs/>
          <w:i/>
          <w:iCs/>
          <w:sz w:val="24"/>
          <w:szCs w:val="24"/>
        </w:rPr>
        <w:t xml:space="preserve">The principles of standard value theory are tailored for </w:t>
      </w:r>
      <w:r w:rsidRPr="0099161A">
        <w:rPr>
          <w:rFonts w:cstheme="minorHAnsi"/>
          <w:b/>
          <w:bCs/>
          <w:i/>
          <w:iCs/>
          <w:sz w:val="24"/>
          <w:szCs w:val="24"/>
          <w:u w:val="single"/>
        </w:rPr>
        <w:t>small-scale</w:t>
      </w:r>
      <w:r w:rsidRPr="0099161A">
        <w:rPr>
          <w:rFonts w:cstheme="minorHAnsi"/>
          <w:b/>
          <w:bCs/>
          <w:i/>
          <w:iCs/>
          <w:sz w:val="24"/>
          <w:szCs w:val="24"/>
        </w:rPr>
        <w:t xml:space="preserve"> projects and impacts</w:t>
      </w:r>
      <w:r w:rsidRPr="0099161A">
        <w:rPr>
          <w:rFonts w:cstheme="minorHAnsi"/>
          <w:sz w:val="24"/>
          <w:szCs w:val="24"/>
        </w:rPr>
        <w:t xml:space="preserve">, </w:t>
      </w:r>
      <w:proofErr w:type="gramStart"/>
      <w:r w:rsidRPr="0099161A">
        <w:rPr>
          <w:rFonts w:cstheme="minorHAnsi"/>
          <w:sz w:val="24"/>
          <w:szCs w:val="24"/>
        </w:rPr>
        <w:t>i.e.</w:t>
      </w:r>
      <w:proofErr w:type="gramEnd"/>
      <w:r w:rsidRPr="0099161A">
        <w:rPr>
          <w:rFonts w:cstheme="minorHAnsi"/>
          <w:sz w:val="24"/>
          <w:szCs w:val="24"/>
        </w:rPr>
        <w:t xml:space="preserve"> they apply for interventions that cause negligible or little ‘feedback’ from the wider system.</w:t>
      </w:r>
    </w:p>
    <w:p w14:paraId="25FE3BC8" w14:textId="6AF32820" w:rsidR="005862CE" w:rsidRPr="0099161A" w:rsidRDefault="005862CE" w:rsidP="005862CE">
      <w:pPr>
        <w:pStyle w:val="ListParagraph"/>
        <w:numPr>
          <w:ilvl w:val="0"/>
          <w:numId w:val="13"/>
        </w:numPr>
        <w:jc w:val="both"/>
        <w:rPr>
          <w:rFonts w:cstheme="minorHAnsi"/>
          <w:sz w:val="24"/>
          <w:szCs w:val="24"/>
        </w:rPr>
      </w:pPr>
      <w:r w:rsidRPr="0099161A">
        <w:rPr>
          <w:rFonts w:cstheme="minorHAnsi"/>
          <w:b/>
          <w:bCs/>
          <w:i/>
          <w:iCs/>
          <w:sz w:val="24"/>
          <w:szCs w:val="24"/>
        </w:rPr>
        <w:t xml:space="preserve">These principles have limited applicability for valuing the </w:t>
      </w:r>
      <w:r w:rsidRPr="0099161A">
        <w:rPr>
          <w:rFonts w:cstheme="minorHAnsi"/>
          <w:b/>
          <w:bCs/>
          <w:i/>
          <w:iCs/>
          <w:sz w:val="24"/>
          <w:szCs w:val="24"/>
          <w:u w:val="single"/>
        </w:rPr>
        <w:t>system-wide</w:t>
      </w:r>
      <w:r w:rsidRPr="0099161A">
        <w:rPr>
          <w:rFonts w:cstheme="minorHAnsi"/>
          <w:b/>
          <w:bCs/>
          <w:i/>
          <w:iCs/>
          <w:sz w:val="24"/>
          <w:szCs w:val="24"/>
        </w:rPr>
        <w:t xml:space="preserve"> impact typical of GBI.</w:t>
      </w:r>
      <w:r w:rsidRPr="0099161A">
        <w:rPr>
          <w:rFonts w:cstheme="minorHAnsi"/>
          <w:sz w:val="24"/>
          <w:szCs w:val="24"/>
        </w:rPr>
        <w:t xml:space="preserve"> </w:t>
      </w:r>
    </w:p>
    <w:p w14:paraId="2548277F" w14:textId="4BFC6337" w:rsidR="005862CE" w:rsidRPr="0099161A" w:rsidRDefault="005862CE" w:rsidP="005862CE">
      <w:pPr>
        <w:pStyle w:val="ListParagraph"/>
        <w:numPr>
          <w:ilvl w:val="0"/>
          <w:numId w:val="13"/>
        </w:numPr>
        <w:jc w:val="both"/>
        <w:rPr>
          <w:rFonts w:cstheme="minorHAnsi"/>
          <w:sz w:val="24"/>
          <w:szCs w:val="24"/>
        </w:rPr>
      </w:pPr>
      <w:r w:rsidRPr="0099161A">
        <w:rPr>
          <w:rFonts w:cstheme="minorHAnsi"/>
          <w:b/>
          <w:bCs/>
          <w:i/>
          <w:iCs/>
          <w:sz w:val="24"/>
          <w:szCs w:val="24"/>
        </w:rPr>
        <w:t>By contrast, alternative system-of-systems principles are well-suited to valuing GBI</w:t>
      </w:r>
      <w:r w:rsidRPr="0099161A">
        <w:rPr>
          <w:rFonts w:cstheme="minorHAnsi"/>
          <w:b/>
          <w:bCs/>
          <w:sz w:val="24"/>
          <w:szCs w:val="24"/>
        </w:rPr>
        <w:t>.</w:t>
      </w:r>
    </w:p>
    <w:p w14:paraId="648F7D2C" w14:textId="77777777" w:rsidR="00DE56F4" w:rsidRPr="0099161A" w:rsidRDefault="003D0B9B" w:rsidP="007D6930">
      <w:pPr>
        <w:jc w:val="both"/>
        <w:rPr>
          <w:rFonts w:cstheme="minorHAnsi"/>
          <w:sz w:val="24"/>
          <w:szCs w:val="24"/>
        </w:rPr>
      </w:pPr>
      <w:proofErr w:type="gramStart"/>
      <w:r w:rsidRPr="0099161A">
        <w:rPr>
          <w:rFonts w:cstheme="minorHAnsi"/>
          <w:sz w:val="24"/>
          <w:szCs w:val="24"/>
        </w:rPr>
        <w:t>Thus</w:t>
      </w:r>
      <w:proofErr w:type="gramEnd"/>
      <w:r w:rsidRPr="0099161A">
        <w:rPr>
          <w:rFonts w:cstheme="minorHAnsi"/>
          <w:sz w:val="24"/>
          <w:szCs w:val="24"/>
        </w:rPr>
        <w:t xml:space="preserve"> the characteristics of GBI</w:t>
      </w:r>
      <w:r w:rsidR="007D6930" w:rsidRPr="0099161A">
        <w:rPr>
          <w:rFonts w:cstheme="minorHAnsi"/>
          <w:sz w:val="24"/>
          <w:szCs w:val="24"/>
        </w:rPr>
        <w:t xml:space="preserve"> strongly favouring a switch to alternative, system-of-systems valuation.</w:t>
      </w:r>
      <w:r w:rsidR="00DE56F4" w:rsidRPr="0099161A">
        <w:rPr>
          <w:rFonts w:cstheme="minorHAnsi"/>
          <w:sz w:val="24"/>
          <w:szCs w:val="24"/>
        </w:rPr>
        <w:t xml:space="preserve"> </w:t>
      </w:r>
      <w:r w:rsidR="007D6930" w:rsidRPr="0099161A">
        <w:rPr>
          <w:rFonts w:cstheme="minorHAnsi"/>
          <w:sz w:val="24"/>
          <w:szCs w:val="24"/>
        </w:rPr>
        <w:t xml:space="preserve"> </w:t>
      </w:r>
    </w:p>
    <w:p w14:paraId="29C3D889" w14:textId="7803A870" w:rsidR="00546A68" w:rsidRPr="0099161A" w:rsidRDefault="00546A68" w:rsidP="007D6930">
      <w:pPr>
        <w:jc w:val="both"/>
        <w:rPr>
          <w:rFonts w:cstheme="minorHAnsi"/>
          <w:sz w:val="24"/>
          <w:szCs w:val="24"/>
        </w:rPr>
      </w:pPr>
      <w:r w:rsidRPr="0099161A">
        <w:rPr>
          <w:rFonts w:cstheme="minorHAnsi"/>
          <w:sz w:val="24"/>
          <w:szCs w:val="24"/>
        </w:rPr>
        <w:t>… explain the distinction between ‘strategic case’ and ‘economic case’ in Green Book</w:t>
      </w:r>
      <w:r w:rsidR="0053457F" w:rsidRPr="0099161A">
        <w:rPr>
          <w:rFonts w:cstheme="minorHAnsi"/>
          <w:sz w:val="24"/>
          <w:szCs w:val="24"/>
        </w:rPr>
        <w:t xml:space="preserve">… </w:t>
      </w:r>
      <w:proofErr w:type="gramStart"/>
      <w:r w:rsidR="0053457F" w:rsidRPr="0099161A">
        <w:rPr>
          <w:rFonts w:cstheme="minorHAnsi"/>
          <w:sz w:val="24"/>
          <w:szCs w:val="24"/>
        </w:rPr>
        <w:t>then..</w:t>
      </w:r>
      <w:proofErr w:type="gramEnd"/>
    </w:p>
    <w:p w14:paraId="6F57FBD9" w14:textId="77777777" w:rsidR="00546A68" w:rsidRPr="0099161A" w:rsidRDefault="00546A68" w:rsidP="007D6930">
      <w:pPr>
        <w:jc w:val="both"/>
        <w:rPr>
          <w:rFonts w:cstheme="minorHAnsi"/>
          <w:sz w:val="24"/>
          <w:szCs w:val="24"/>
        </w:rPr>
      </w:pPr>
    </w:p>
    <w:p w14:paraId="3CD414BD" w14:textId="5956BB30" w:rsidR="007D6930" w:rsidRPr="0099161A" w:rsidRDefault="007D6930" w:rsidP="007D6930">
      <w:pPr>
        <w:jc w:val="both"/>
        <w:rPr>
          <w:rFonts w:cstheme="minorHAnsi"/>
          <w:sz w:val="24"/>
          <w:szCs w:val="24"/>
        </w:rPr>
      </w:pPr>
      <w:r w:rsidRPr="0099161A">
        <w:rPr>
          <w:rFonts w:cstheme="minorHAnsi"/>
          <w:sz w:val="24"/>
          <w:szCs w:val="24"/>
        </w:rPr>
        <w:t>This context informed co-development of the following recommendations and guidelines.</w:t>
      </w:r>
      <w:r w:rsidRPr="0099161A">
        <w:rPr>
          <w:rStyle w:val="FootnoteReference"/>
          <w:rFonts w:cstheme="minorHAnsi"/>
          <w:sz w:val="24"/>
          <w:szCs w:val="24"/>
        </w:rPr>
        <w:footnoteReference w:id="21"/>
      </w:r>
      <w:r w:rsidRPr="0099161A">
        <w:rPr>
          <w:rFonts w:cstheme="minorHAnsi"/>
          <w:sz w:val="24"/>
          <w:szCs w:val="24"/>
        </w:rPr>
        <w:t xml:space="preserve"> </w:t>
      </w:r>
    </w:p>
    <w:p w14:paraId="2F2C75AC" w14:textId="77777777" w:rsidR="007D6930" w:rsidRPr="0099161A" w:rsidRDefault="007D6930" w:rsidP="007D6930">
      <w:pPr>
        <w:jc w:val="both"/>
        <w:rPr>
          <w:rFonts w:cstheme="minorHAnsi"/>
          <w:sz w:val="24"/>
          <w:szCs w:val="24"/>
        </w:rPr>
      </w:pPr>
      <w:r w:rsidRPr="0099161A">
        <w:rPr>
          <w:rFonts w:cstheme="minorHAnsi"/>
          <w:b/>
          <w:bCs/>
          <w:i/>
          <w:iCs/>
          <w:sz w:val="24"/>
          <w:szCs w:val="24"/>
        </w:rPr>
        <w:t xml:space="preserve">RECOMMENDATION 1: Greater weight should be placed on the </w:t>
      </w:r>
      <w:r w:rsidRPr="0099161A">
        <w:rPr>
          <w:rFonts w:cstheme="minorHAnsi"/>
          <w:b/>
          <w:bCs/>
          <w:i/>
          <w:iCs/>
          <w:sz w:val="24"/>
          <w:szCs w:val="24"/>
          <w:u w:val="single"/>
        </w:rPr>
        <w:t>‘strategic case’</w:t>
      </w:r>
      <w:r w:rsidRPr="0099161A">
        <w:rPr>
          <w:rFonts w:cstheme="minorHAnsi"/>
          <w:b/>
          <w:bCs/>
          <w:i/>
          <w:iCs/>
          <w:sz w:val="24"/>
          <w:szCs w:val="24"/>
        </w:rPr>
        <w:t xml:space="preserve"> of the </w:t>
      </w:r>
      <w:proofErr w:type="gramStart"/>
      <w:r w:rsidRPr="0099161A">
        <w:rPr>
          <w:rFonts w:cstheme="minorHAnsi"/>
          <w:b/>
          <w:bCs/>
          <w:i/>
          <w:iCs/>
          <w:sz w:val="24"/>
          <w:szCs w:val="24"/>
        </w:rPr>
        <w:t>5 case</w:t>
      </w:r>
      <w:proofErr w:type="gramEnd"/>
      <w:r w:rsidRPr="0099161A">
        <w:rPr>
          <w:rFonts w:cstheme="minorHAnsi"/>
          <w:b/>
          <w:bCs/>
          <w:i/>
          <w:iCs/>
          <w:sz w:val="24"/>
          <w:szCs w:val="24"/>
        </w:rPr>
        <w:t xml:space="preserve"> model. Specifically, </w:t>
      </w:r>
      <w:r w:rsidRPr="0099161A">
        <w:rPr>
          <w:rFonts w:cstheme="minorHAnsi"/>
          <w:sz w:val="24"/>
          <w:szCs w:val="24"/>
        </w:rPr>
        <w:t xml:space="preserve"> </w:t>
      </w:r>
    </w:p>
    <w:p w14:paraId="57AB073F" w14:textId="77777777" w:rsidR="007D6930" w:rsidRPr="0099161A" w:rsidRDefault="007D6930" w:rsidP="007D6930">
      <w:pPr>
        <w:pStyle w:val="ListParagraph"/>
        <w:numPr>
          <w:ilvl w:val="0"/>
          <w:numId w:val="14"/>
        </w:numPr>
        <w:jc w:val="both"/>
        <w:rPr>
          <w:rFonts w:cstheme="minorHAnsi"/>
          <w:b/>
          <w:bCs/>
          <w:i/>
          <w:iCs/>
          <w:sz w:val="24"/>
          <w:szCs w:val="24"/>
        </w:rPr>
      </w:pPr>
      <w:r w:rsidRPr="0099161A">
        <w:rPr>
          <w:rFonts w:cstheme="minorHAnsi"/>
          <w:b/>
          <w:bCs/>
          <w:i/>
          <w:iCs/>
          <w:sz w:val="24"/>
          <w:szCs w:val="24"/>
        </w:rPr>
        <w:t xml:space="preserve">For very large-scale GBI-related programmes the ‘strategic case’ of the </w:t>
      </w:r>
      <w:proofErr w:type="gramStart"/>
      <w:r w:rsidRPr="0099161A">
        <w:rPr>
          <w:rFonts w:cstheme="minorHAnsi"/>
          <w:b/>
          <w:bCs/>
          <w:i/>
          <w:iCs/>
          <w:sz w:val="24"/>
          <w:szCs w:val="24"/>
        </w:rPr>
        <w:t>5 case</w:t>
      </w:r>
      <w:proofErr w:type="gramEnd"/>
      <w:r w:rsidRPr="0099161A">
        <w:rPr>
          <w:rFonts w:cstheme="minorHAnsi"/>
          <w:b/>
          <w:bCs/>
          <w:i/>
          <w:iCs/>
          <w:sz w:val="24"/>
          <w:szCs w:val="24"/>
        </w:rPr>
        <w:t xml:space="preserve"> model is the most appropriate, and </w:t>
      </w:r>
      <w:r w:rsidRPr="0099161A">
        <w:rPr>
          <w:rFonts w:cstheme="minorHAnsi"/>
          <w:b/>
          <w:bCs/>
          <w:i/>
          <w:iCs/>
          <w:sz w:val="24"/>
          <w:szCs w:val="24"/>
          <w:u w:val="single"/>
        </w:rPr>
        <w:t>the ‘economic case’ should not be applied</w:t>
      </w:r>
      <w:r w:rsidRPr="0099161A">
        <w:rPr>
          <w:rFonts w:cstheme="minorHAnsi"/>
          <w:b/>
          <w:bCs/>
          <w:i/>
          <w:iCs/>
          <w:sz w:val="24"/>
          <w:szCs w:val="24"/>
        </w:rPr>
        <w:t>.</w:t>
      </w:r>
      <w:r w:rsidRPr="0099161A">
        <w:rPr>
          <w:rStyle w:val="FootnoteReference"/>
          <w:rFonts w:cstheme="minorHAnsi"/>
          <w:b/>
          <w:bCs/>
          <w:i/>
          <w:iCs/>
          <w:sz w:val="24"/>
          <w:szCs w:val="24"/>
        </w:rPr>
        <w:footnoteReference w:id="22"/>
      </w:r>
      <w:r w:rsidRPr="0099161A">
        <w:rPr>
          <w:rFonts w:cstheme="minorHAnsi"/>
          <w:b/>
          <w:bCs/>
          <w:i/>
          <w:iCs/>
          <w:sz w:val="24"/>
          <w:szCs w:val="24"/>
        </w:rPr>
        <w:t xml:space="preserve"> </w:t>
      </w:r>
    </w:p>
    <w:p w14:paraId="5741EBD4" w14:textId="77777777" w:rsidR="007D6930" w:rsidRPr="0099161A" w:rsidRDefault="007D6930" w:rsidP="007D6930">
      <w:pPr>
        <w:pStyle w:val="ListParagraph"/>
        <w:numPr>
          <w:ilvl w:val="0"/>
          <w:numId w:val="14"/>
        </w:numPr>
        <w:jc w:val="both"/>
        <w:rPr>
          <w:rFonts w:cstheme="minorHAnsi"/>
          <w:b/>
          <w:bCs/>
          <w:i/>
          <w:iCs/>
          <w:sz w:val="24"/>
          <w:szCs w:val="24"/>
        </w:rPr>
      </w:pPr>
      <w:r w:rsidRPr="0099161A">
        <w:rPr>
          <w:rFonts w:cstheme="minorHAnsi"/>
          <w:b/>
          <w:bCs/>
          <w:i/>
          <w:iCs/>
          <w:sz w:val="24"/>
          <w:szCs w:val="24"/>
        </w:rPr>
        <w:t xml:space="preserve">For smaller GBI-related interventions, </w:t>
      </w:r>
      <w:r w:rsidRPr="0099161A">
        <w:rPr>
          <w:rFonts w:cstheme="minorHAnsi"/>
          <w:b/>
          <w:bCs/>
          <w:i/>
          <w:iCs/>
          <w:sz w:val="24"/>
          <w:szCs w:val="24"/>
          <w:u w:val="single"/>
        </w:rPr>
        <w:t>the strategic case should carry extra weight</w:t>
      </w:r>
      <w:r w:rsidRPr="0099161A">
        <w:rPr>
          <w:rFonts w:cstheme="minorHAnsi"/>
          <w:b/>
          <w:bCs/>
          <w:i/>
          <w:iCs/>
          <w:sz w:val="24"/>
          <w:szCs w:val="24"/>
        </w:rPr>
        <w:t xml:space="preserve"> in the context of climate crisis</w:t>
      </w:r>
      <w:r w:rsidRPr="0099161A">
        <w:rPr>
          <w:rFonts w:cstheme="minorHAnsi"/>
          <w:sz w:val="24"/>
          <w:szCs w:val="24"/>
        </w:rPr>
        <w:t xml:space="preserve">. </w:t>
      </w:r>
    </w:p>
    <w:p w14:paraId="17010C18" w14:textId="77777777" w:rsidR="007D6930" w:rsidRPr="0099161A" w:rsidRDefault="007D6930" w:rsidP="007D6930">
      <w:pPr>
        <w:jc w:val="both"/>
        <w:rPr>
          <w:rFonts w:cstheme="minorHAnsi"/>
          <w:sz w:val="24"/>
          <w:szCs w:val="24"/>
        </w:rPr>
      </w:pPr>
      <w:r w:rsidRPr="0099161A">
        <w:rPr>
          <w:rFonts w:cstheme="minorHAnsi"/>
          <w:sz w:val="24"/>
          <w:szCs w:val="24"/>
        </w:rPr>
        <w:t xml:space="preserve">HM Treasury’s </w:t>
      </w:r>
      <w:r w:rsidRPr="0099161A">
        <w:rPr>
          <w:rFonts w:cstheme="minorHAnsi"/>
          <w:i/>
          <w:iCs/>
          <w:sz w:val="24"/>
          <w:szCs w:val="24"/>
        </w:rPr>
        <w:t>Green Book</w:t>
      </w:r>
      <w:r w:rsidRPr="0099161A">
        <w:rPr>
          <w:rFonts w:cstheme="minorHAnsi"/>
          <w:sz w:val="24"/>
          <w:szCs w:val="24"/>
        </w:rPr>
        <w:t xml:space="preserve"> identifies correctly the ‘strategic case’ of the </w:t>
      </w:r>
      <w:proofErr w:type="gramStart"/>
      <w:r w:rsidRPr="0099161A">
        <w:rPr>
          <w:rFonts w:cstheme="minorHAnsi"/>
          <w:sz w:val="24"/>
          <w:szCs w:val="24"/>
        </w:rPr>
        <w:t>5 case</w:t>
      </w:r>
      <w:proofErr w:type="gramEnd"/>
      <w:r w:rsidRPr="0099161A">
        <w:rPr>
          <w:rFonts w:cstheme="minorHAnsi"/>
          <w:sz w:val="24"/>
          <w:szCs w:val="24"/>
        </w:rPr>
        <w:t xml:space="preserve"> model as the appropriate location for ‘system-of-system’ principles (e.g. non-marginal impacts, fundamental uncertainty). In the ‘strategic case,’ limitations in GBI valuation tools and evidence matter less than in the ‘economic case’ (see our tool review). This is why our </w:t>
      </w:r>
      <w:r w:rsidRPr="0099161A">
        <w:rPr>
          <w:rFonts w:cstheme="minorHAnsi"/>
          <w:sz w:val="24"/>
          <w:szCs w:val="24"/>
        </w:rPr>
        <w:lastRenderedPageBreak/>
        <w:t>conceptual recommendations focus on the ‘strategic case’ (note that the 4 subsequent cases, including the ‘economic case,’ must be linked with the ‘strategic case’).</w:t>
      </w:r>
    </w:p>
    <w:p w14:paraId="1E39B3A9" w14:textId="77777777" w:rsidR="007D6930" w:rsidRPr="0099161A" w:rsidRDefault="007D6930" w:rsidP="007D6930">
      <w:pPr>
        <w:jc w:val="both"/>
        <w:rPr>
          <w:rFonts w:cstheme="minorHAnsi"/>
          <w:b/>
          <w:bCs/>
          <w:i/>
          <w:iCs/>
          <w:sz w:val="24"/>
          <w:szCs w:val="24"/>
        </w:rPr>
      </w:pPr>
      <w:r w:rsidRPr="0099161A">
        <w:rPr>
          <w:rFonts w:cstheme="minorHAnsi"/>
          <w:b/>
          <w:bCs/>
          <w:i/>
          <w:iCs/>
          <w:sz w:val="24"/>
          <w:szCs w:val="24"/>
        </w:rPr>
        <w:t xml:space="preserve">RECOMMENDATION 2: </w:t>
      </w:r>
      <w:r w:rsidRPr="0099161A">
        <w:rPr>
          <w:rFonts w:cstheme="minorHAnsi"/>
          <w:b/>
          <w:bCs/>
          <w:i/>
          <w:iCs/>
          <w:sz w:val="24"/>
          <w:szCs w:val="24"/>
          <w:u w:val="single"/>
        </w:rPr>
        <w:t>System-of-system valuation principles</w:t>
      </w:r>
      <w:r w:rsidRPr="0099161A">
        <w:rPr>
          <w:rFonts w:cstheme="minorHAnsi"/>
          <w:b/>
          <w:bCs/>
          <w:i/>
          <w:iCs/>
          <w:sz w:val="24"/>
          <w:szCs w:val="24"/>
        </w:rPr>
        <w:t xml:space="preserve"> should underpin improvements in GBI business case guidelines and developments</w:t>
      </w:r>
      <w:r w:rsidRPr="0099161A">
        <w:rPr>
          <w:rFonts w:cstheme="minorHAnsi"/>
          <w:sz w:val="24"/>
          <w:szCs w:val="24"/>
        </w:rPr>
        <w:t xml:space="preserve">. </w:t>
      </w:r>
      <w:r w:rsidRPr="0099161A">
        <w:rPr>
          <w:rFonts w:cstheme="minorHAnsi"/>
          <w:b/>
          <w:bCs/>
          <w:i/>
          <w:iCs/>
          <w:sz w:val="24"/>
          <w:szCs w:val="24"/>
        </w:rPr>
        <w:t>Specifically, improvements in:</w:t>
      </w:r>
    </w:p>
    <w:p w14:paraId="26AE240D" w14:textId="77777777" w:rsidR="007D6930" w:rsidRPr="0099161A" w:rsidRDefault="007D6930" w:rsidP="007D6930">
      <w:pPr>
        <w:pStyle w:val="ListParagraph"/>
        <w:numPr>
          <w:ilvl w:val="0"/>
          <w:numId w:val="15"/>
        </w:numPr>
        <w:jc w:val="both"/>
        <w:rPr>
          <w:rFonts w:cstheme="minorHAnsi"/>
          <w:b/>
          <w:bCs/>
          <w:i/>
          <w:iCs/>
          <w:sz w:val="24"/>
          <w:szCs w:val="24"/>
        </w:rPr>
      </w:pPr>
      <w:r w:rsidRPr="0099161A">
        <w:rPr>
          <w:rFonts w:cstheme="minorHAnsi"/>
          <w:b/>
          <w:bCs/>
          <w:i/>
          <w:iCs/>
          <w:sz w:val="24"/>
          <w:szCs w:val="24"/>
        </w:rPr>
        <w:t xml:space="preserve">Future development (refresh) of HMT’s guidelines for the ‘strategic case’ in 5 case </w:t>
      </w:r>
      <w:proofErr w:type="gramStart"/>
      <w:r w:rsidRPr="0099161A">
        <w:rPr>
          <w:rFonts w:cstheme="minorHAnsi"/>
          <w:b/>
          <w:bCs/>
          <w:i/>
          <w:iCs/>
          <w:sz w:val="24"/>
          <w:szCs w:val="24"/>
        </w:rPr>
        <w:t>model;</w:t>
      </w:r>
      <w:proofErr w:type="gramEnd"/>
    </w:p>
    <w:p w14:paraId="01A9CF68" w14:textId="77777777" w:rsidR="007D6930" w:rsidRPr="0099161A" w:rsidRDefault="007D6930" w:rsidP="007D6930">
      <w:pPr>
        <w:pStyle w:val="ListParagraph"/>
        <w:numPr>
          <w:ilvl w:val="0"/>
          <w:numId w:val="15"/>
        </w:numPr>
        <w:jc w:val="both"/>
        <w:rPr>
          <w:rFonts w:cstheme="minorHAnsi"/>
          <w:b/>
          <w:bCs/>
          <w:i/>
          <w:iCs/>
          <w:sz w:val="24"/>
          <w:szCs w:val="24"/>
        </w:rPr>
      </w:pPr>
      <w:r w:rsidRPr="0099161A">
        <w:rPr>
          <w:rFonts w:cstheme="minorHAnsi"/>
          <w:b/>
          <w:bCs/>
          <w:i/>
          <w:iCs/>
          <w:sz w:val="24"/>
          <w:szCs w:val="24"/>
        </w:rPr>
        <w:t xml:space="preserve">Development and appraisal of the ‘strategic case’ for specific interventions involving </w:t>
      </w:r>
      <w:proofErr w:type="gramStart"/>
      <w:r w:rsidRPr="0099161A">
        <w:rPr>
          <w:rFonts w:cstheme="minorHAnsi"/>
          <w:b/>
          <w:bCs/>
          <w:i/>
          <w:iCs/>
          <w:sz w:val="24"/>
          <w:szCs w:val="24"/>
        </w:rPr>
        <w:t>GBI;</w:t>
      </w:r>
      <w:proofErr w:type="gramEnd"/>
    </w:p>
    <w:p w14:paraId="6A868399" w14:textId="77777777" w:rsidR="007D6930" w:rsidRPr="0099161A" w:rsidRDefault="007D6930" w:rsidP="007D6930">
      <w:pPr>
        <w:jc w:val="both"/>
        <w:rPr>
          <w:rFonts w:cstheme="minorHAnsi"/>
          <w:sz w:val="24"/>
          <w:szCs w:val="24"/>
        </w:rPr>
      </w:pPr>
      <w:r w:rsidRPr="0099161A">
        <w:rPr>
          <w:rFonts w:cstheme="minorHAnsi"/>
          <w:sz w:val="24"/>
          <w:szCs w:val="24"/>
        </w:rPr>
        <w:t xml:space="preserve">For example, the system-of-systems analysis of </w:t>
      </w:r>
      <w:r w:rsidRPr="0099161A">
        <w:rPr>
          <w:rFonts w:cstheme="minorHAnsi"/>
          <w:i/>
          <w:iCs/>
          <w:sz w:val="24"/>
          <w:szCs w:val="24"/>
        </w:rPr>
        <w:t>value creation and value capture</w:t>
      </w:r>
      <w:r w:rsidRPr="0099161A">
        <w:rPr>
          <w:rFonts w:cstheme="minorHAnsi"/>
          <w:sz w:val="24"/>
          <w:szCs w:val="24"/>
        </w:rPr>
        <w:t xml:space="preserve"> can aid stakeholder analysis</w:t>
      </w:r>
      <w:r w:rsidRPr="0099161A">
        <w:rPr>
          <w:rStyle w:val="FootnoteReference"/>
          <w:rFonts w:cstheme="minorHAnsi"/>
          <w:sz w:val="24"/>
          <w:szCs w:val="24"/>
        </w:rPr>
        <w:footnoteReference w:id="23"/>
      </w:r>
      <w:r w:rsidRPr="0099161A">
        <w:rPr>
          <w:rFonts w:cstheme="minorHAnsi"/>
          <w:sz w:val="24"/>
          <w:szCs w:val="24"/>
        </w:rPr>
        <w:t xml:space="preserve"> and the system-of-systems principles of </w:t>
      </w:r>
      <w:r w:rsidRPr="0099161A">
        <w:rPr>
          <w:rFonts w:cstheme="minorHAnsi"/>
          <w:i/>
          <w:iCs/>
          <w:sz w:val="24"/>
          <w:szCs w:val="24"/>
        </w:rPr>
        <w:t>decision-making under fundamental uncertainty</w:t>
      </w:r>
      <w:r w:rsidRPr="0099161A">
        <w:rPr>
          <w:rFonts w:cstheme="minorHAnsi"/>
          <w:sz w:val="24"/>
          <w:szCs w:val="24"/>
        </w:rPr>
        <w:t xml:space="preserve"> can inform deliberative procedures that have the flexibility to cope with fundamental uncertainty.</w:t>
      </w:r>
      <w:r w:rsidRPr="0099161A">
        <w:rPr>
          <w:rStyle w:val="FootnoteReference"/>
          <w:rFonts w:cstheme="minorHAnsi"/>
          <w:sz w:val="24"/>
          <w:szCs w:val="24"/>
        </w:rPr>
        <w:footnoteReference w:id="24"/>
      </w:r>
    </w:p>
    <w:p w14:paraId="457374FA" w14:textId="77777777" w:rsidR="007D6930" w:rsidRPr="0099161A" w:rsidRDefault="007D6930" w:rsidP="007D6930">
      <w:pPr>
        <w:pStyle w:val="ListParagraph"/>
        <w:numPr>
          <w:ilvl w:val="0"/>
          <w:numId w:val="15"/>
        </w:numPr>
        <w:jc w:val="both"/>
        <w:rPr>
          <w:rFonts w:cstheme="minorHAnsi"/>
          <w:b/>
          <w:bCs/>
          <w:i/>
          <w:iCs/>
          <w:sz w:val="24"/>
          <w:szCs w:val="24"/>
        </w:rPr>
      </w:pPr>
      <w:r w:rsidRPr="0099161A">
        <w:rPr>
          <w:rFonts w:cstheme="minorHAnsi"/>
          <w:b/>
          <w:bCs/>
          <w:i/>
          <w:iCs/>
          <w:sz w:val="24"/>
          <w:szCs w:val="24"/>
        </w:rPr>
        <w:t xml:space="preserve">Incentivisation of GBI at the </w:t>
      </w:r>
      <w:r w:rsidRPr="0099161A">
        <w:rPr>
          <w:rFonts w:cstheme="minorHAnsi"/>
          <w:b/>
          <w:bCs/>
          <w:i/>
          <w:iCs/>
          <w:sz w:val="24"/>
          <w:szCs w:val="24"/>
          <w:u w:val="single"/>
        </w:rPr>
        <w:t>‘strategic outline business case’</w:t>
      </w:r>
      <w:r w:rsidRPr="0099161A">
        <w:rPr>
          <w:rFonts w:cstheme="minorHAnsi"/>
          <w:b/>
          <w:bCs/>
          <w:i/>
          <w:iCs/>
          <w:sz w:val="24"/>
          <w:szCs w:val="24"/>
        </w:rPr>
        <w:t xml:space="preserve"> stage of regional assurance processes</w:t>
      </w:r>
    </w:p>
    <w:p w14:paraId="795B6B71" w14:textId="77777777" w:rsidR="007D6930" w:rsidRPr="0099161A" w:rsidRDefault="007D6930" w:rsidP="007D6930">
      <w:pPr>
        <w:rPr>
          <w:rFonts w:cstheme="minorHAnsi"/>
          <w:b/>
          <w:bCs/>
          <w:i/>
          <w:iCs/>
          <w:sz w:val="24"/>
          <w:szCs w:val="24"/>
        </w:rPr>
      </w:pPr>
      <w:r w:rsidRPr="0099161A">
        <w:rPr>
          <w:rFonts w:cstheme="minorHAnsi"/>
          <w:sz w:val="24"/>
          <w:szCs w:val="24"/>
        </w:rPr>
        <w:t>For example, our case study with WYCA aimed to change regional business case template guidelines to emphasise the strategic importance of GBI through system-of-system principles and thereby (a) help prioritise GBI at early stage of decision-making; (b) help better integrate GBI into appraisal.</w:t>
      </w:r>
    </w:p>
    <w:p w14:paraId="4335B8F9" w14:textId="77777777" w:rsidR="007D6930" w:rsidRPr="0099161A" w:rsidRDefault="007D6930" w:rsidP="007D6930">
      <w:pPr>
        <w:pStyle w:val="ListParagraph"/>
        <w:numPr>
          <w:ilvl w:val="0"/>
          <w:numId w:val="15"/>
        </w:numPr>
        <w:rPr>
          <w:rFonts w:cstheme="minorHAnsi"/>
          <w:b/>
          <w:bCs/>
          <w:i/>
          <w:iCs/>
          <w:sz w:val="24"/>
          <w:szCs w:val="24"/>
        </w:rPr>
      </w:pPr>
      <w:r w:rsidRPr="0099161A">
        <w:rPr>
          <w:rFonts w:cstheme="minorHAnsi"/>
          <w:b/>
          <w:bCs/>
          <w:i/>
          <w:iCs/>
          <w:sz w:val="24"/>
          <w:szCs w:val="24"/>
        </w:rPr>
        <w:t xml:space="preserve">Development of GBI </w:t>
      </w:r>
      <w:r w:rsidRPr="0099161A">
        <w:rPr>
          <w:rFonts w:cstheme="minorHAnsi"/>
          <w:b/>
          <w:bCs/>
          <w:i/>
          <w:iCs/>
          <w:sz w:val="24"/>
          <w:szCs w:val="24"/>
          <w:u w:val="single"/>
        </w:rPr>
        <w:t>value narratives</w:t>
      </w:r>
    </w:p>
    <w:p w14:paraId="7F060A16" w14:textId="77777777" w:rsidR="007D6930" w:rsidRPr="0099161A" w:rsidRDefault="007D6930" w:rsidP="007D6930">
      <w:pPr>
        <w:rPr>
          <w:rFonts w:cstheme="minorHAnsi"/>
          <w:sz w:val="24"/>
          <w:szCs w:val="24"/>
        </w:rPr>
      </w:pPr>
      <w:r w:rsidRPr="0099161A">
        <w:rPr>
          <w:rFonts w:cstheme="minorHAnsi"/>
          <w:sz w:val="24"/>
          <w:szCs w:val="24"/>
        </w:rPr>
        <w:t xml:space="preserve">In our case studies, stakeholders emphasised the importance of developing a clear, convincing and integrated narrative articulating the value of GBI. The system-of-systems approach proved helpful in narrative development for GBI. A system-of-systems value narrative aids </w:t>
      </w:r>
      <w:proofErr w:type="gramStart"/>
      <w:r w:rsidRPr="0099161A">
        <w:rPr>
          <w:rFonts w:cstheme="minorHAnsi"/>
          <w:sz w:val="24"/>
          <w:szCs w:val="24"/>
        </w:rPr>
        <w:t>in:</w:t>
      </w:r>
      <w:proofErr w:type="gramEnd"/>
      <w:r w:rsidRPr="0099161A">
        <w:rPr>
          <w:rFonts w:cstheme="minorHAnsi"/>
          <w:sz w:val="24"/>
          <w:szCs w:val="24"/>
        </w:rPr>
        <w:t xml:space="preserve"> developing and communicating strategic rationale; identifying key elements of the system; identifying system boundaries; stakeholder management; and integration of diverse disciplines, approaches and teams.</w:t>
      </w:r>
    </w:p>
    <w:p w14:paraId="25BDE1D5" w14:textId="77777777" w:rsidR="007D6930" w:rsidRPr="0099161A" w:rsidRDefault="007D6930" w:rsidP="007D6930">
      <w:pPr>
        <w:spacing w:after="120" w:line="240" w:lineRule="auto"/>
        <w:jc w:val="both"/>
        <w:rPr>
          <w:rFonts w:cstheme="minorHAnsi"/>
          <w:sz w:val="24"/>
          <w:szCs w:val="24"/>
        </w:rPr>
      </w:pPr>
      <w:r w:rsidRPr="0099161A">
        <w:rPr>
          <w:rFonts w:cstheme="minorHAnsi"/>
          <w:sz w:val="24"/>
          <w:szCs w:val="24"/>
        </w:rPr>
        <w:t>For example, the Kirklees A62 corridor Business Case and project was underpinned by the Green Streets systemic framework, bringing together diverse relevant teams and perspectives from very early at the strategic design stage, and meeting regularly throughout the project to foster communication, establish common goals, shared values, and organisational cohesiveness.</w:t>
      </w:r>
    </w:p>
    <w:p w14:paraId="008D7B54" w14:textId="77777777" w:rsidR="007D6930" w:rsidRPr="0099161A" w:rsidRDefault="007D6930" w:rsidP="007D6930">
      <w:pPr>
        <w:jc w:val="both"/>
        <w:rPr>
          <w:rFonts w:cstheme="minorHAnsi"/>
          <w:b/>
          <w:bCs/>
          <w:i/>
          <w:iCs/>
          <w:sz w:val="24"/>
          <w:szCs w:val="24"/>
        </w:rPr>
      </w:pPr>
      <w:r w:rsidRPr="0099161A">
        <w:rPr>
          <w:rFonts w:cstheme="minorHAnsi"/>
          <w:b/>
          <w:bCs/>
          <w:i/>
          <w:iCs/>
          <w:sz w:val="24"/>
          <w:szCs w:val="24"/>
        </w:rPr>
        <w:t>RECOMMENDATION 3:</w:t>
      </w:r>
      <w:r w:rsidRPr="0099161A">
        <w:rPr>
          <w:rFonts w:cstheme="minorHAnsi"/>
          <w:b/>
          <w:bCs/>
          <w:sz w:val="24"/>
          <w:szCs w:val="24"/>
        </w:rPr>
        <w:t xml:space="preserve"> </w:t>
      </w:r>
      <w:r w:rsidRPr="0099161A">
        <w:rPr>
          <w:rFonts w:cstheme="minorHAnsi"/>
          <w:b/>
          <w:bCs/>
          <w:i/>
          <w:iCs/>
          <w:sz w:val="24"/>
          <w:szCs w:val="24"/>
        </w:rPr>
        <w:t xml:space="preserve">It is preferable to develop large-scale GBI </w:t>
      </w:r>
      <w:r w:rsidRPr="0099161A">
        <w:rPr>
          <w:rFonts w:cstheme="minorHAnsi"/>
          <w:b/>
          <w:bCs/>
          <w:i/>
          <w:iCs/>
          <w:sz w:val="24"/>
          <w:szCs w:val="24"/>
          <w:u w:val="single"/>
        </w:rPr>
        <w:t>programmes</w:t>
      </w:r>
      <w:r w:rsidRPr="0099161A">
        <w:rPr>
          <w:rFonts w:cstheme="minorHAnsi"/>
          <w:b/>
          <w:bCs/>
          <w:i/>
          <w:iCs/>
          <w:sz w:val="24"/>
          <w:szCs w:val="24"/>
        </w:rPr>
        <w:t xml:space="preserve">, that can be valued at programme-wide scale, so avoiding project by project appraisal where the systemic GBI benefits may be missed </w:t>
      </w:r>
    </w:p>
    <w:p w14:paraId="4EC0FBEA" w14:textId="77777777" w:rsidR="007D6930" w:rsidRPr="0099161A" w:rsidRDefault="007D6930" w:rsidP="007D6930">
      <w:pPr>
        <w:rPr>
          <w:rFonts w:cstheme="minorHAnsi"/>
          <w:sz w:val="24"/>
          <w:szCs w:val="24"/>
        </w:rPr>
      </w:pPr>
      <w:r w:rsidRPr="0099161A">
        <w:rPr>
          <w:rFonts w:cstheme="minorHAnsi"/>
          <w:sz w:val="24"/>
          <w:szCs w:val="24"/>
        </w:rPr>
        <w:lastRenderedPageBreak/>
        <w:t>For example, the OUR SPACES programme within Leeds City Council emphasised the need for a long-term GBI programme underpinned by a strategic narrative (co-developed with us) rather than a series of discrete projects.</w:t>
      </w:r>
    </w:p>
    <w:p w14:paraId="5C8D14E7" w14:textId="77777777" w:rsidR="007D6930" w:rsidRPr="0099161A" w:rsidRDefault="007D6930" w:rsidP="007D6930">
      <w:pPr>
        <w:rPr>
          <w:rFonts w:cstheme="minorHAnsi"/>
          <w:sz w:val="24"/>
          <w:szCs w:val="24"/>
        </w:rPr>
      </w:pPr>
      <w:r w:rsidRPr="0099161A">
        <w:rPr>
          <w:rFonts w:cstheme="minorHAnsi"/>
          <w:b/>
          <w:bCs/>
          <w:i/>
          <w:iCs/>
          <w:sz w:val="24"/>
          <w:szCs w:val="24"/>
        </w:rPr>
        <w:t xml:space="preserve">RECOMMENDATION 4: The importance of </w:t>
      </w:r>
      <w:r w:rsidRPr="0099161A">
        <w:rPr>
          <w:rFonts w:cstheme="minorHAnsi"/>
          <w:b/>
          <w:bCs/>
          <w:i/>
          <w:iCs/>
          <w:sz w:val="24"/>
          <w:szCs w:val="24"/>
          <w:u w:val="single"/>
        </w:rPr>
        <w:t>integrated provisioning</w:t>
      </w:r>
      <w:r w:rsidRPr="0099161A">
        <w:rPr>
          <w:rFonts w:cstheme="minorHAnsi"/>
          <w:b/>
          <w:bCs/>
          <w:sz w:val="24"/>
          <w:szCs w:val="24"/>
        </w:rPr>
        <w:t>, avoiding silos, cannot be overemphasised</w:t>
      </w:r>
    </w:p>
    <w:p w14:paraId="2B67BF81" w14:textId="77777777" w:rsidR="007D6930" w:rsidRPr="0099161A" w:rsidRDefault="007D6930" w:rsidP="007D6930">
      <w:pPr>
        <w:pStyle w:val="ListParagraph"/>
        <w:ind w:left="0"/>
        <w:jc w:val="both"/>
        <w:rPr>
          <w:rFonts w:cstheme="minorHAnsi"/>
          <w:sz w:val="24"/>
          <w:szCs w:val="24"/>
        </w:rPr>
      </w:pPr>
      <w:r w:rsidRPr="0099161A">
        <w:rPr>
          <w:rFonts w:cstheme="minorHAnsi"/>
          <w:sz w:val="24"/>
          <w:szCs w:val="24"/>
        </w:rPr>
        <w:t>System-of-system GBI business case valuation should be part of a broader ethos, integrating systems locally, regionally and nationally</w:t>
      </w:r>
      <w:r w:rsidRPr="0099161A">
        <w:rPr>
          <w:rFonts w:cstheme="minorHAnsi"/>
          <w:b/>
          <w:bCs/>
          <w:sz w:val="24"/>
          <w:szCs w:val="24"/>
        </w:rPr>
        <w:t>.</w:t>
      </w:r>
      <w:r w:rsidRPr="0099161A">
        <w:rPr>
          <w:rStyle w:val="FootnoteReference"/>
          <w:rFonts w:cstheme="minorHAnsi"/>
          <w:sz w:val="24"/>
          <w:szCs w:val="24"/>
        </w:rPr>
        <w:footnoteReference w:id="25"/>
      </w:r>
    </w:p>
    <w:p w14:paraId="12CA450B" w14:textId="77777777" w:rsidR="0050312E" w:rsidRDefault="0050312E" w:rsidP="003E040B">
      <w:pPr>
        <w:rPr>
          <w:rFonts w:cstheme="minorHAnsi"/>
          <w:b/>
          <w:bCs/>
          <w:sz w:val="28"/>
          <w:szCs w:val="28"/>
        </w:rPr>
      </w:pPr>
    </w:p>
    <w:p w14:paraId="0C14B291" w14:textId="5BC0E97D" w:rsidR="00D144A3" w:rsidRPr="00966570" w:rsidRDefault="00A9243F" w:rsidP="003E040B">
      <w:pPr>
        <w:rPr>
          <w:rFonts w:cstheme="minorHAnsi"/>
          <w:b/>
          <w:bCs/>
          <w:sz w:val="28"/>
          <w:szCs w:val="28"/>
        </w:rPr>
      </w:pPr>
      <w:r>
        <w:rPr>
          <w:rFonts w:cstheme="minorHAnsi"/>
          <w:b/>
          <w:bCs/>
          <w:sz w:val="28"/>
          <w:szCs w:val="28"/>
        </w:rPr>
        <w:t>6. CONCLUSION</w:t>
      </w:r>
    </w:p>
    <w:p w14:paraId="716CE731" w14:textId="1AACA3D0" w:rsidR="00A9243F" w:rsidRPr="001A4044" w:rsidRDefault="00A9243F" w:rsidP="00A9243F">
      <w:pPr>
        <w:rPr>
          <w:rFonts w:cstheme="minorHAnsi"/>
          <w:sz w:val="24"/>
          <w:szCs w:val="24"/>
        </w:rPr>
      </w:pPr>
      <w:r>
        <w:rPr>
          <w:rFonts w:cstheme="minorHAnsi"/>
          <w:sz w:val="24"/>
          <w:szCs w:val="24"/>
        </w:rPr>
        <w:t>This report has summarized the academic efforts to assist in West Yorkshire economic recovery, which have resulted in the creation of PERN, and developed some ideas about a new way of approaching the next stages of economic recovery</w:t>
      </w:r>
      <w:r w:rsidR="00866F0B">
        <w:rPr>
          <w:rFonts w:cstheme="minorHAnsi"/>
          <w:sz w:val="24"/>
          <w:szCs w:val="24"/>
        </w:rPr>
        <w:t>. These new ideas</w:t>
      </w:r>
      <w:r>
        <w:rPr>
          <w:rFonts w:cstheme="minorHAnsi"/>
          <w:sz w:val="24"/>
          <w:szCs w:val="24"/>
        </w:rPr>
        <w:t>, drawing on both prior research activities undertaken by local researchers and HM Treasury</w:t>
      </w:r>
      <w:r w:rsidR="00866F0B">
        <w:rPr>
          <w:rFonts w:cstheme="minorHAnsi"/>
          <w:sz w:val="24"/>
          <w:szCs w:val="24"/>
        </w:rPr>
        <w:t xml:space="preserve"> efforts to rethink its ‘Green Book’, present an alternative to standard economic thinking. Specifically, this report has shown </w:t>
      </w:r>
      <w:r w:rsidRPr="001A4044">
        <w:rPr>
          <w:rFonts w:cstheme="minorHAnsi"/>
          <w:sz w:val="24"/>
          <w:szCs w:val="24"/>
        </w:rPr>
        <w:t xml:space="preserve">how system-of-system rethinking of value can underpin sustainable and place-based economic </w:t>
      </w:r>
      <w:proofErr w:type="gramStart"/>
      <w:r w:rsidRPr="001A4044">
        <w:rPr>
          <w:rFonts w:cstheme="minorHAnsi"/>
          <w:sz w:val="24"/>
          <w:szCs w:val="24"/>
        </w:rPr>
        <w:t>recovery, and</w:t>
      </w:r>
      <w:proofErr w:type="gramEnd"/>
      <w:r w:rsidRPr="001A4044">
        <w:rPr>
          <w:rFonts w:cstheme="minorHAnsi"/>
          <w:sz w:val="24"/>
          <w:szCs w:val="24"/>
        </w:rPr>
        <w:t xml:space="preserve"> can help to harness a wealth of academic expertise across the region for this purpose.</w:t>
      </w:r>
    </w:p>
    <w:p w14:paraId="41DB408D" w14:textId="77777777" w:rsidR="008F3418" w:rsidRDefault="00866F0B" w:rsidP="00A9243F">
      <w:pPr>
        <w:rPr>
          <w:rFonts w:cstheme="minorHAnsi"/>
          <w:sz w:val="24"/>
          <w:szCs w:val="24"/>
        </w:rPr>
      </w:pPr>
      <w:r>
        <w:rPr>
          <w:rFonts w:cstheme="minorHAnsi"/>
          <w:sz w:val="24"/>
          <w:szCs w:val="24"/>
        </w:rPr>
        <w:t>S</w:t>
      </w:r>
      <w:r w:rsidR="00A9243F" w:rsidRPr="001A4044">
        <w:rPr>
          <w:rFonts w:cstheme="minorHAnsi"/>
          <w:sz w:val="24"/>
          <w:szCs w:val="24"/>
        </w:rPr>
        <w:t>ystems-of-systems rethinking of economic value is not</w:t>
      </w:r>
      <w:r>
        <w:rPr>
          <w:rFonts w:cstheme="minorHAnsi"/>
          <w:sz w:val="24"/>
          <w:szCs w:val="24"/>
        </w:rPr>
        <w:t xml:space="preserve"> suited to</w:t>
      </w:r>
      <w:r w:rsidR="00A9243F" w:rsidRPr="001A4044">
        <w:rPr>
          <w:rFonts w:cstheme="minorHAnsi"/>
          <w:sz w:val="24"/>
          <w:szCs w:val="24"/>
        </w:rPr>
        <w:t xml:space="preserve"> an ivory</w:t>
      </w:r>
      <w:r>
        <w:rPr>
          <w:rFonts w:cstheme="minorHAnsi"/>
          <w:sz w:val="24"/>
          <w:szCs w:val="24"/>
        </w:rPr>
        <w:t>-</w:t>
      </w:r>
      <w:r w:rsidR="00A9243F" w:rsidRPr="001A4044">
        <w:rPr>
          <w:rFonts w:cstheme="minorHAnsi"/>
          <w:sz w:val="24"/>
          <w:szCs w:val="24"/>
        </w:rPr>
        <w:t xml:space="preserve">tower academic exercise. It demands place-based development and application. To this end, the report </w:t>
      </w:r>
      <w:r>
        <w:rPr>
          <w:rFonts w:cstheme="minorHAnsi"/>
          <w:sz w:val="24"/>
          <w:szCs w:val="24"/>
        </w:rPr>
        <w:t xml:space="preserve">has chosen, as one case study, </w:t>
      </w:r>
      <w:r w:rsidR="00A9243F" w:rsidRPr="001A4044">
        <w:rPr>
          <w:rFonts w:cstheme="minorHAnsi"/>
          <w:sz w:val="24"/>
          <w:szCs w:val="24"/>
        </w:rPr>
        <w:t xml:space="preserve">retrofit schemes for housing insulation, which are potentially valuable for regional renewal across economic, environmental and social dimensions. </w:t>
      </w:r>
      <w:r>
        <w:rPr>
          <w:rFonts w:cstheme="minorHAnsi"/>
          <w:sz w:val="24"/>
          <w:szCs w:val="24"/>
        </w:rPr>
        <w:t>The i</w:t>
      </w:r>
      <w:r w:rsidR="00A9243F" w:rsidRPr="001A4044">
        <w:rPr>
          <w:rFonts w:cstheme="minorHAnsi"/>
          <w:sz w:val="24"/>
          <w:szCs w:val="24"/>
        </w:rPr>
        <w:t>ntegrated proposals for a place-based housing retrofit programme</w:t>
      </w:r>
      <w:r>
        <w:rPr>
          <w:rFonts w:cstheme="minorHAnsi"/>
          <w:sz w:val="24"/>
          <w:szCs w:val="24"/>
        </w:rPr>
        <w:t xml:space="preserve"> that are currently being offered draw on the </w:t>
      </w:r>
      <w:r w:rsidR="00A9243F" w:rsidRPr="001A4044">
        <w:rPr>
          <w:rFonts w:cstheme="minorHAnsi"/>
          <w:sz w:val="24"/>
          <w:szCs w:val="24"/>
        </w:rPr>
        <w:t xml:space="preserve">systems-of-systems approach to synthesise a wide range of research from multiple disciplinary perspectives. Moving to </w:t>
      </w:r>
      <w:r>
        <w:rPr>
          <w:rFonts w:cstheme="minorHAnsi"/>
          <w:sz w:val="24"/>
          <w:szCs w:val="24"/>
        </w:rPr>
        <w:t xml:space="preserve">the </w:t>
      </w:r>
      <w:r w:rsidR="00A9243F" w:rsidRPr="001A4044">
        <w:rPr>
          <w:rFonts w:cstheme="minorHAnsi"/>
          <w:sz w:val="24"/>
          <w:szCs w:val="24"/>
        </w:rPr>
        <w:t>more general</w:t>
      </w:r>
      <w:r>
        <w:rPr>
          <w:rFonts w:cstheme="minorHAnsi"/>
          <w:sz w:val="24"/>
          <w:szCs w:val="24"/>
        </w:rPr>
        <w:t xml:space="preserve"> level, </w:t>
      </w:r>
      <w:r w:rsidR="00A9243F" w:rsidRPr="001A4044">
        <w:rPr>
          <w:rFonts w:cstheme="minorHAnsi"/>
          <w:sz w:val="24"/>
          <w:szCs w:val="24"/>
        </w:rPr>
        <w:t xml:space="preserve">the report </w:t>
      </w:r>
      <w:r>
        <w:rPr>
          <w:rFonts w:cstheme="minorHAnsi"/>
          <w:sz w:val="24"/>
          <w:szCs w:val="24"/>
        </w:rPr>
        <w:t xml:space="preserve">showed that a value theory rooted in </w:t>
      </w:r>
      <w:r w:rsidR="00A9243F" w:rsidRPr="001A4044">
        <w:rPr>
          <w:rFonts w:cstheme="minorHAnsi"/>
          <w:sz w:val="24"/>
          <w:szCs w:val="24"/>
        </w:rPr>
        <w:t xml:space="preserve">systems-of-systems </w:t>
      </w:r>
      <w:r>
        <w:rPr>
          <w:rFonts w:cstheme="minorHAnsi"/>
          <w:sz w:val="24"/>
          <w:szCs w:val="24"/>
        </w:rPr>
        <w:t xml:space="preserve">logic </w:t>
      </w:r>
      <w:r w:rsidR="00A9243F" w:rsidRPr="001A4044">
        <w:rPr>
          <w:rFonts w:cstheme="minorHAnsi"/>
          <w:sz w:val="24"/>
          <w:szCs w:val="24"/>
        </w:rPr>
        <w:t>can meet the call for Government valuation guidelines and assurance procedures (</w:t>
      </w:r>
      <w:r>
        <w:rPr>
          <w:rFonts w:cstheme="minorHAnsi"/>
          <w:sz w:val="24"/>
          <w:szCs w:val="24"/>
        </w:rPr>
        <w:t xml:space="preserve">especially </w:t>
      </w:r>
      <w:r w:rsidR="00A9243F" w:rsidRPr="001A4044">
        <w:rPr>
          <w:rFonts w:cstheme="minorHAnsi"/>
          <w:sz w:val="24"/>
          <w:szCs w:val="24"/>
        </w:rPr>
        <w:t>in HM</w:t>
      </w:r>
      <w:r>
        <w:rPr>
          <w:rFonts w:cstheme="minorHAnsi"/>
          <w:sz w:val="24"/>
          <w:szCs w:val="24"/>
        </w:rPr>
        <w:t xml:space="preserve"> </w:t>
      </w:r>
      <w:r w:rsidR="00A9243F" w:rsidRPr="001A4044">
        <w:rPr>
          <w:rFonts w:cstheme="minorHAnsi"/>
          <w:sz w:val="24"/>
          <w:szCs w:val="24"/>
        </w:rPr>
        <w:t>T</w:t>
      </w:r>
      <w:r>
        <w:rPr>
          <w:rFonts w:cstheme="minorHAnsi"/>
          <w:sz w:val="24"/>
          <w:szCs w:val="24"/>
        </w:rPr>
        <w:t>reasury’</w:t>
      </w:r>
      <w:r w:rsidR="00A9243F" w:rsidRPr="001A4044">
        <w:rPr>
          <w:rFonts w:cstheme="minorHAnsi"/>
          <w:sz w:val="24"/>
          <w:szCs w:val="24"/>
        </w:rPr>
        <w:t>s ‘Green Book’) t</w:t>
      </w:r>
      <w:r>
        <w:rPr>
          <w:rFonts w:cstheme="minorHAnsi"/>
          <w:sz w:val="24"/>
          <w:szCs w:val="24"/>
        </w:rPr>
        <w:t xml:space="preserve">hat </w:t>
      </w:r>
      <w:r w:rsidR="00A9243F" w:rsidRPr="001A4044">
        <w:rPr>
          <w:rFonts w:cstheme="minorHAnsi"/>
          <w:sz w:val="24"/>
          <w:szCs w:val="24"/>
        </w:rPr>
        <w:t>better incorporate long-run economic, environmental and social value</w:t>
      </w:r>
      <w:r>
        <w:rPr>
          <w:rFonts w:cstheme="minorHAnsi"/>
          <w:sz w:val="24"/>
          <w:szCs w:val="24"/>
        </w:rPr>
        <w:t xml:space="preserve">. The </w:t>
      </w:r>
      <w:r w:rsidR="00A9243F" w:rsidRPr="001A4044">
        <w:rPr>
          <w:rFonts w:cstheme="minorHAnsi"/>
          <w:sz w:val="24"/>
          <w:szCs w:val="24"/>
        </w:rPr>
        <w:t xml:space="preserve">‘Green and Blue Infrastructure Business case project’ of </w:t>
      </w:r>
      <w:proofErr w:type="spellStart"/>
      <w:r w:rsidR="00A9243F" w:rsidRPr="001A4044">
        <w:rPr>
          <w:rFonts w:cstheme="minorHAnsi"/>
          <w:sz w:val="24"/>
          <w:szCs w:val="24"/>
        </w:rPr>
        <w:t>iCASP</w:t>
      </w:r>
      <w:proofErr w:type="spellEnd"/>
      <w:r>
        <w:rPr>
          <w:rFonts w:cstheme="minorHAnsi"/>
          <w:sz w:val="24"/>
          <w:szCs w:val="24"/>
        </w:rPr>
        <w:t xml:space="preserve"> provides an important case in point. </w:t>
      </w:r>
    </w:p>
    <w:p w14:paraId="3F0FEB36" w14:textId="77777777" w:rsidR="0050710A" w:rsidRDefault="008F3418" w:rsidP="00A9243F">
      <w:pPr>
        <w:rPr>
          <w:rFonts w:cstheme="minorHAnsi"/>
          <w:sz w:val="24"/>
          <w:szCs w:val="24"/>
        </w:rPr>
      </w:pPr>
      <w:r>
        <w:rPr>
          <w:rFonts w:cstheme="minorHAnsi"/>
          <w:sz w:val="24"/>
          <w:szCs w:val="24"/>
        </w:rPr>
        <w:t>What are the</w:t>
      </w:r>
      <w:r w:rsidR="00A9243F" w:rsidRPr="001A4044">
        <w:rPr>
          <w:rFonts w:cstheme="minorHAnsi"/>
          <w:sz w:val="24"/>
          <w:szCs w:val="24"/>
        </w:rPr>
        <w:t xml:space="preserve"> next steps for </w:t>
      </w:r>
      <w:r>
        <w:rPr>
          <w:rFonts w:cstheme="minorHAnsi"/>
          <w:sz w:val="24"/>
          <w:szCs w:val="24"/>
        </w:rPr>
        <w:t xml:space="preserve">achieving an </w:t>
      </w:r>
      <w:r w:rsidR="00A9243F" w:rsidRPr="001A4044">
        <w:rPr>
          <w:rFonts w:cstheme="minorHAnsi"/>
          <w:sz w:val="24"/>
          <w:szCs w:val="24"/>
        </w:rPr>
        <w:t xml:space="preserve">economic recovery </w:t>
      </w:r>
      <w:r>
        <w:rPr>
          <w:rFonts w:cstheme="minorHAnsi"/>
          <w:sz w:val="24"/>
          <w:szCs w:val="24"/>
        </w:rPr>
        <w:t xml:space="preserve">that prioritizes </w:t>
      </w:r>
      <w:r w:rsidR="00A9243F" w:rsidRPr="001A4044">
        <w:rPr>
          <w:rFonts w:cstheme="minorHAnsi"/>
          <w:sz w:val="24"/>
          <w:szCs w:val="24"/>
        </w:rPr>
        <w:t xml:space="preserve">public purpose and public value, </w:t>
      </w:r>
      <w:r>
        <w:rPr>
          <w:rFonts w:cstheme="minorHAnsi"/>
          <w:sz w:val="24"/>
          <w:szCs w:val="24"/>
        </w:rPr>
        <w:t xml:space="preserve">and for </w:t>
      </w:r>
      <w:r w:rsidR="00A9243F" w:rsidRPr="001A4044">
        <w:rPr>
          <w:rFonts w:cstheme="minorHAnsi"/>
          <w:sz w:val="24"/>
          <w:szCs w:val="24"/>
        </w:rPr>
        <w:t>the Place-based Economic Recovery Network</w:t>
      </w:r>
      <w:r>
        <w:rPr>
          <w:rFonts w:cstheme="minorHAnsi"/>
          <w:sz w:val="24"/>
          <w:szCs w:val="24"/>
        </w:rPr>
        <w:t xml:space="preserve"> that has come together in the wake of Covid-19? </w:t>
      </w:r>
      <w:r w:rsidR="0050710A">
        <w:rPr>
          <w:rFonts w:cstheme="minorHAnsi"/>
          <w:sz w:val="24"/>
          <w:szCs w:val="24"/>
        </w:rPr>
        <w:t>Regarding the first question, m</w:t>
      </w:r>
      <w:r>
        <w:rPr>
          <w:rFonts w:cstheme="minorHAnsi"/>
          <w:sz w:val="24"/>
          <w:szCs w:val="24"/>
        </w:rPr>
        <w:t>uch depends</w:t>
      </w:r>
      <w:r w:rsidR="0050710A">
        <w:rPr>
          <w:rFonts w:cstheme="minorHAnsi"/>
          <w:sz w:val="24"/>
          <w:szCs w:val="24"/>
        </w:rPr>
        <w:t xml:space="preserve"> </w:t>
      </w:r>
      <w:r>
        <w:rPr>
          <w:rFonts w:cstheme="minorHAnsi"/>
          <w:sz w:val="24"/>
          <w:szCs w:val="24"/>
        </w:rPr>
        <w:t xml:space="preserve">on the level of resources that will be made available to undertake a meaningful recovery. Our housing-retrofit case study made clear that this climate-friendly activity can be readily undertaken at </w:t>
      </w:r>
      <w:r>
        <w:rPr>
          <w:rFonts w:cstheme="minorHAnsi"/>
          <w:sz w:val="24"/>
          <w:szCs w:val="24"/>
        </w:rPr>
        <w:lastRenderedPageBreak/>
        <w:t xml:space="preserve">a small scale, focusing on city-owned properties; achieving more extensive retrofit, with the benefits in ecological sustainability and economic inclusion </w:t>
      </w:r>
      <w:r w:rsidR="0050710A">
        <w:rPr>
          <w:rFonts w:cstheme="minorHAnsi"/>
          <w:sz w:val="24"/>
          <w:szCs w:val="24"/>
        </w:rPr>
        <w:t xml:space="preserve">that can follow, will require deeper monetary commitments by households or by the Government. </w:t>
      </w:r>
    </w:p>
    <w:p w14:paraId="7FE47CDA" w14:textId="4C6F9762" w:rsidR="0050710A" w:rsidRDefault="0050710A" w:rsidP="00A9243F">
      <w:pPr>
        <w:rPr>
          <w:rFonts w:cstheme="minorHAnsi"/>
          <w:sz w:val="24"/>
          <w:szCs w:val="24"/>
        </w:rPr>
      </w:pPr>
      <w:r>
        <w:rPr>
          <w:rFonts w:cstheme="minorHAnsi"/>
          <w:sz w:val="24"/>
          <w:szCs w:val="24"/>
        </w:rPr>
        <w:t xml:space="preserve">Here it is important to point out that retrofit is only one of several climate-friendly, </w:t>
      </w:r>
      <w:proofErr w:type="gramStart"/>
      <w:r>
        <w:rPr>
          <w:rFonts w:cstheme="minorHAnsi"/>
          <w:sz w:val="24"/>
          <w:szCs w:val="24"/>
        </w:rPr>
        <w:t>economically-inclusive</w:t>
      </w:r>
      <w:proofErr w:type="gramEnd"/>
      <w:r>
        <w:rPr>
          <w:rFonts w:cstheme="minorHAnsi"/>
          <w:sz w:val="24"/>
          <w:szCs w:val="24"/>
        </w:rPr>
        <w:t xml:space="preserve"> areas of investment that could be identified. This is where local voice – the ‘place-based’ component of our thinking – comes into play. Extensive consultation will be needed, not only at the regional level, but within the cities and towns within the region, in deciding what investments best meet the multiple goals (dimensions of value) that West Yorkshire residents hold dear. This idea – of decentralized choice over public investment </w:t>
      </w:r>
      <w:proofErr w:type="spellStart"/>
      <w:r>
        <w:rPr>
          <w:rFonts w:cstheme="minorHAnsi"/>
          <w:sz w:val="24"/>
          <w:szCs w:val="24"/>
        </w:rPr>
        <w:t>initaitives</w:t>
      </w:r>
      <w:proofErr w:type="spellEnd"/>
      <w:r>
        <w:rPr>
          <w:rFonts w:cstheme="minorHAnsi"/>
          <w:sz w:val="24"/>
          <w:szCs w:val="24"/>
        </w:rPr>
        <w:t xml:space="preserve">, along with the capacity to acquire the financing needed to undertake them – is at the heart of the policy ‘devolution’ that the Government has set out as a policy imperative. How and when these economic-recovery initiatives can be launched, given the crisis that both Covid-19 and the years of macro-austerity policy have induced in core social and human services, remains to be seen. </w:t>
      </w:r>
    </w:p>
    <w:p w14:paraId="7130396C" w14:textId="77777777" w:rsidR="00DB437F" w:rsidRDefault="0050710A" w:rsidP="00A9243F">
      <w:pPr>
        <w:rPr>
          <w:rFonts w:cstheme="minorHAnsi"/>
          <w:sz w:val="24"/>
          <w:szCs w:val="24"/>
        </w:rPr>
      </w:pPr>
      <w:r>
        <w:rPr>
          <w:rFonts w:cstheme="minorHAnsi"/>
          <w:sz w:val="24"/>
          <w:szCs w:val="24"/>
        </w:rPr>
        <w:t xml:space="preserve">This leads immediately to the next steps for PERN as a network of academic researchers linked into the combined authority and the local authorities in the region. </w:t>
      </w:r>
      <w:r w:rsidR="0099161A">
        <w:rPr>
          <w:rFonts w:cstheme="minorHAnsi"/>
          <w:sz w:val="24"/>
          <w:szCs w:val="24"/>
        </w:rPr>
        <w:t xml:space="preserve">The webinars sponsored by PERN, as well as reports issued recently by the Commission on a Gender Equal Economy, LSE, and other entities, have highlighted the need to avoid counterposing economic prosperity against social well-being. The economic recovery for West Yorkshire or for any other region in the nation must be built on a continuing commitment to adequate provisioning for health services and – for those who need it – income and life support. Covid-19 has, of course, put many more people and businesses at risk. </w:t>
      </w:r>
      <w:proofErr w:type="spellStart"/>
      <w:r w:rsidR="0099161A">
        <w:rPr>
          <w:rFonts w:cstheme="minorHAnsi"/>
          <w:sz w:val="24"/>
          <w:szCs w:val="24"/>
        </w:rPr>
        <w:t>THe</w:t>
      </w:r>
      <w:proofErr w:type="spellEnd"/>
      <w:r w:rsidR="0099161A">
        <w:rPr>
          <w:rFonts w:cstheme="minorHAnsi"/>
          <w:sz w:val="24"/>
          <w:szCs w:val="24"/>
        </w:rPr>
        <w:t xml:space="preserve"> ‘system-of-systems’ logic, providing for the multi-valuation of value, highlights precisely the need to see the social and economic situation of West Yorkshire holistically. Many possible </w:t>
      </w:r>
      <w:proofErr w:type="spellStart"/>
      <w:r w:rsidR="0099161A">
        <w:rPr>
          <w:rFonts w:cstheme="minorHAnsi"/>
          <w:sz w:val="24"/>
          <w:szCs w:val="24"/>
        </w:rPr>
        <w:t>tradeoffs</w:t>
      </w:r>
      <w:proofErr w:type="spellEnd"/>
      <w:r w:rsidR="0099161A">
        <w:rPr>
          <w:rFonts w:cstheme="minorHAnsi"/>
          <w:sz w:val="24"/>
          <w:szCs w:val="24"/>
        </w:rPr>
        <w:t xml:space="preserve"> may </w:t>
      </w:r>
      <w:proofErr w:type="gramStart"/>
      <w:r w:rsidR="00B60385">
        <w:rPr>
          <w:rFonts w:cstheme="minorHAnsi"/>
          <w:sz w:val="24"/>
          <w:szCs w:val="24"/>
        </w:rPr>
        <w:t xml:space="preserve">emerge; </w:t>
      </w:r>
      <w:r w:rsidR="0099161A">
        <w:rPr>
          <w:rFonts w:cstheme="minorHAnsi"/>
          <w:sz w:val="24"/>
          <w:szCs w:val="24"/>
        </w:rPr>
        <w:t xml:space="preserve"> and</w:t>
      </w:r>
      <w:proofErr w:type="gramEnd"/>
      <w:r w:rsidR="0099161A">
        <w:rPr>
          <w:rFonts w:cstheme="minorHAnsi"/>
          <w:sz w:val="24"/>
          <w:szCs w:val="24"/>
        </w:rPr>
        <w:t xml:space="preserve"> </w:t>
      </w:r>
      <w:r w:rsidR="00B60385">
        <w:rPr>
          <w:rFonts w:cstheme="minorHAnsi"/>
          <w:sz w:val="24"/>
          <w:szCs w:val="24"/>
        </w:rPr>
        <w:t xml:space="preserve">if </w:t>
      </w:r>
      <w:r w:rsidR="0099161A">
        <w:rPr>
          <w:rFonts w:cstheme="minorHAnsi"/>
          <w:sz w:val="24"/>
          <w:szCs w:val="24"/>
        </w:rPr>
        <w:t xml:space="preserve">investment in different </w:t>
      </w:r>
      <w:r w:rsidR="00B60385">
        <w:rPr>
          <w:rFonts w:cstheme="minorHAnsi"/>
          <w:sz w:val="24"/>
          <w:szCs w:val="24"/>
        </w:rPr>
        <w:t xml:space="preserve">projects for recovery becomes feasible, the consequences of different pathways toward a socially and ecologically sustainable region will have to be assessed. </w:t>
      </w:r>
    </w:p>
    <w:p w14:paraId="700F5BBF" w14:textId="12FF8F7C" w:rsidR="0050710A" w:rsidRDefault="00B60385" w:rsidP="00A9243F">
      <w:pPr>
        <w:rPr>
          <w:rFonts w:cstheme="minorHAnsi"/>
          <w:sz w:val="24"/>
          <w:szCs w:val="24"/>
        </w:rPr>
      </w:pPr>
      <w:r>
        <w:rPr>
          <w:rFonts w:cstheme="minorHAnsi"/>
          <w:sz w:val="24"/>
          <w:szCs w:val="24"/>
        </w:rPr>
        <w:t xml:space="preserve">As a network that spans local universities and that can reach out to different areas of research and policy specialization, PERN should be capable of meeting the challenges of identifying both the demands, need, and capacity for alternative investments across West Yorkshire – identifying local variations and common trends; and it should be capable of bringing to bear the wide range of scientific, human, and social disciplines that will be needed. Local universities have, in the past several years, signalled the importance they place on their ‘anchor institution’ role in the city and town regions they serve. </w:t>
      </w:r>
      <w:r w:rsidR="0013195F">
        <w:rPr>
          <w:rFonts w:cstheme="minorHAnsi"/>
          <w:sz w:val="24"/>
          <w:szCs w:val="24"/>
        </w:rPr>
        <w:t xml:space="preserve">This affirmation will help provide the institutional support for the academic and professional staff engaged in this regional recovery effort. </w:t>
      </w:r>
      <w:proofErr w:type="spellStart"/>
      <w:r w:rsidR="0013195F">
        <w:rPr>
          <w:rFonts w:cstheme="minorHAnsi"/>
          <w:sz w:val="24"/>
          <w:szCs w:val="24"/>
        </w:rPr>
        <w:t>THe</w:t>
      </w:r>
      <w:proofErr w:type="spellEnd"/>
      <w:r w:rsidR="0013195F">
        <w:rPr>
          <w:rFonts w:cstheme="minorHAnsi"/>
          <w:sz w:val="24"/>
          <w:szCs w:val="24"/>
        </w:rPr>
        <w:t xml:space="preserve"> members of PERN can play a key role in coordinating these staffs’ efforts within their own institutions; and by working across the universities of the region, PERN can assure that one part of the region does not succeed at the expense of another – that the region as a whole can use the current crisis to move decisively toward a socially and ecologically sustainable future.  </w:t>
      </w:r>
    </w:p>
    <w:p w14:paraId="1AE59DBD" w14:textId="1A06ACB3" w:rsidR="00724E0E" w:rsidRDefault="00724E0E" w:rsidP="00724E0E">
      <w:pPr>
        <w:rPr>
          <w:rFonts w:cstheme="minorHAnsi"/>
        </w:rPr>
      </w:pPr>
    </w:p>
    <w:p w14:paraId="0D1C1CBB" w14:textId="0A86F346" w:rsidR="00315B25" w:rsidRDefault="00315B25" w:rsidP="00724E0E">
      <w:pPr>
        <w:rPr>
          <w:rFonts w:cstheme="minorHAnsi"/>
        </w:rPr>
      </w:pPr>
    </w:p>
    <w:p w14:paraId="762F86E3" w14:textId="1856B717" w:rsidR="00315B25" w:rsidRDefault="00315B25" w:rsidP="00724E0E">
      <w:pPr>
        <w:rPr>
          <w:rFonts w:cstheme="minorHAnsi"/>
        </w:rPr>
      </w:pPr>
    </w:p>
    <w:p w14:paraId="51BAB450" w14:textId="02A43B6E" w:rsidR="00315B25" w:rsidRDefault="00315B25" w:rsidP="00724E0E">
      <w:pPr>
        <w:rPr>
          <w:rFonts w:cstheme="minorHAnsi"/>
        </w:rPr>
      </w:pPr>
    </w:p>
    <w:p w14:paraId="7188A0AF" w14:textId="21893C7C" w:rsidR="00315B25" w:rsidRDefault="00315B25" w:rsidP="00724E0E">
      <w:pPr>
        <w:rPr>
          <w:rFonts w:cstheme="minorHAnsi"/>
        </w:rPr>
      </w:pPr>
    </w:p>
    <w:p w14:paraId="538E67AB" w14:textId="192BF782" w:rsidR="003A5CA9" w:rsidRPr="009E3836" w:rsidRDefault="003A5CA9" w:rsidP="00E30149">
      <w:pPr>
        <w:rPr>
          <w:rFonts w:cstheme="minorHAnsi"/>
        </w:rPr>
      </w:pPr>
    </w:p>
    <w:sectPr w:rsidR="003A5CA9" w:rsidRPr="009E3836" w:rsidSect="00C46F2A">
      <w:headerReference w:type="even" r:id="rId12"/>
      <w:head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D321" w14:textId="77777777" w:rsidR="00476E33" w:rsidRDefault="00476E33" w:rsidP="00286001">
      <w:pPr>
        <w:spacing w:after="0" w:line="240" w:lineRule="auto"/>
      </w:pPr>
      <w:r>
        <w:separator/>
      </w:r>
    </w:p>
  </w:endnote>
  <w:endnote w:type="continuationSeparator" w:id="0">
    <w:p w14:paraId="7B45BE3E" w14:textId="77777777" w:rsidR="00476E33" w:rsidRDefault="00476E33" w:rsidP="0028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C468" w14:textId="77777777" w:rsidR="00476E33" w:rsidRDefault="00476E33" w:rsidP="00286001">
      <w:pPr>
        <w:spacing w:after="0" w:line="240" w:lineRule="auto"/>
      </w:pPr>
      <w:r>
        <w:separator/>
      </w:r>
    </w:p>
  </w:footnote>
  <w:footnote w:type="continuationSeparator" w:id="0">
    <w:p w14:paraId="5722BF77" w14:textId="77777777" w:rsidR="00476E33" w:rsidRDefault="00476E33" w:rsidP="00286001">
      <w:pPr>
        <w:spacing w:after="0" w:line="240" w:lineRule="auto"/>
      </w:pPr>
      <w:r>
        <w:continuationSeparator/>
      </w:r>
    </w:p>
  </w:footnote>
  <w:footnote w:id="1">
    <w:p w14:paraId="60DF4434" w14:textId="56443FC7" w:rsidR="008443C8" w:rsidRPr="00E64149" w:rsidRDefault="008443C8" w:rsidP="00E64149">
      <w:pPr>
        <w:spacing w:after="0" w:line="240" w:lineRule="auto"/>
        <w:rPr>
          <w:rFonts w:eastAsia="Times New Roman" w:cstheme="minorHAnsi"/>
          <w:sz w:val="24"/>
          <w:szCs w:val="24"/>
          <w:lang w:eastAsia="en-GB"/>
        </w:rPr>
      </w:pPr>
      <w:r w:rsidRPr="00E64149">
        <w:rPr>
          <w:rStyle w:val="FootnoteReference"/>
          <w:sz w:val="24"/>
          <w:szCs w:val="24"/>
        </w:rPr>
        <w:t>*</w:t>
      </w:r>
      <w:r w:rsidRPr="00E64149">
        <w:rPr>
          <w:rFonts w:cstheme="minorHAnsi"/>
          <w:sz w:val="24"/>
          <w:szCs w:val="24"/>
        </w:rPr>
        <w:t xml:space="preserve"> The authors are members of the economics sub-group of </w:t>
      </w:r>
      <w:r>
        <w:rPr>
          <w:rFonts w:cstheme="minorHAnsi"/>
          <w:sz w:val="24"/>
          <w:szCs w:val="24"/>
        </w:rPr>
        <w:t>the Place-based Economic Recovery Network, which has been organized under the joint auspices of Yorkshire Universities and the West Yorkshire Combined Authority (WYCA). Please note that th</w:t>
      </w:r>
      <w:r w:rsidRPr="00E64149">
        <w:rPr>
          <w:rFonts w:cstheme="minorHAnsi"/>
          <w:sz w:val="24"/>
          <w:szCs w:val="24"/>
        </w:rPr>
        <w:t xml:space="preserve">is report </w:t>
      </w:r>
      <w:r>
        <w:rPr>
          <w:rFonts w:cstheme="minorHAnsi"/>
          <w:sz w:val="24"/>
          <w:szCs w:val="24"/>
        </w:rPr>
        <w:t xml:space="preserve">represents the views of the </w:t>
      </w:r>
      <w:proofErr w:type="gramStart"/>
      <w:r>
        <w:rPr>
          <w:rFonts w:cstheme="minorHAnsi"/>
          <w:sz w:val="24"/>
          <w:szCs w:val="24"/>
        </w:rPr>
        <w:t>authors, and</w:t>
      </w:r>
      <w:proofErr w:type="gramEnd"/>
      <w:r>
        <w:rPr>
          <w:rFonts w:cstheme="minorHAnsi"/>
          <w:sz w:val="24"/>
          <w:szCs w:val="24"/>
        </w:rPr>
        <w:t xml:space="preserve"> </w:t>
      </w:r>
      <w:r w:rsidRPr="00E64149">
        <w:rPr>
          <w:rFonts w:cstheme="minorHAnsi"/>
          <w:sz w:val="24"/>
          <w:szCs w:val="24"/>
        </w:rPr>
        <w:t xml:space="preserve">does </w:t>
      </w:r>
      <w:r w:rsidRPr="00E64149">
        <w:rPr>
          <w:rFonts w:cstheme="minorHAnsi"/>
          <w:sz w:val="24"/>
          <w:szCs w:val="24"/>
          <w:lang w:val="en-US"/>
        </w:rPr>
        <w:t xml:space="preserve">not represent an official or unofficial statement of the West Yorkshire Combined Authority. Contact: </w:t>
      </w:r>
      <w:hyperlink r:id="rId1" w:history="1">
        <w:r w:rsidRPr="00E64149">
          <w:rPr>
            <w:rStyle w:val="Hyperlink"/>
            <w:rFonts w:eastAsia="Times New Roman" w:cstheme="minorHAnsi"/>
            <w:sz w:val="24"/>
            <w:szCs w:val="24"/>
            <w:shd w:val="clear" w:color="auto" w:fill="FFFFFF"/>
            <w:lang w:eastAsia="en-GB"/>
          </w:rPr>
          <w:t>A.Brown@lubs.leeds.ac.uk</w:t>
        </w:r>
      </w:hyperlink>
      <w:r w:rsidRPr="00E64149">
        <w:rPr>
          <w:rFonts w:eastAsia="Times New Roman" w:cstheme="minorHAnsi"/>
          <w:color w:val="323130"/>
          <w:sz w:val="24"/>
          <w:szCs w:val="24"/>
          <w:shd w:val="clear" w:color="auto" w:fill="FFFFFF"/>
          <w:lang w:eastAsia="en-GB"/>
        </w:rPr>
        <w:t xml:space="preserve"> </w:t>
      </w:r>
    </w:p>
  </w:footnote>
  <w:footnote w:id="2">
    <w:p w14:paraId="6F326095" w14:textId="77777777" w:rsidR="0064277F" w:rsidRPr="00451FCC" w:rsidRDefault="0064277F" w:rsidP="0064277F">
      <w:pPr>
        <w:pStyle w:val="NormalWeb"/>
        <w:spacing w:before="0" w:beforeAutospacing="0" w:after="0" w:afterAutospacing="0"/>
        <w:jc w:val="both"/>
        <w:rPr>
          <w:rFonts w:asciiTheme="minorHAnsi" w:hAnsiTheme="minorHAnsi" w:cstheme="minorHAnsi"/>
          <w:sz w:val="18"/>
          <w:szCs w:val="18"/>
        </w:rPr>
      </w:pPr>
      <w:r w:rsidRPr="00451FCC">
        <w:rPr>
          <w:rStyle w:val="FootnoteReference"/>
          <w:rFonts w:asciiTheme="minorHAnsi" w:hAnsiTheme="minorHAnsi" w:cstheme="minorHAnsi"/>
          <w:sz w:val="18"/>
          <w:szCs w:val="18"/>
        </w:rPr>
        <w:footnoteRef/>
      </w:r>
      <w:r w:rsidRPr="00451FCC">
        <w:rPr>
          <w:rFonts w:asciiTheme="minorHAnsi" w:hAnsiTheme="minorHAnsi" w:cstheme="minorHAnsi"/>
          <w:sz w:val="18"/>
          <w:szCs w:val="18"/>
        </w:rPr>
        <w:t xml:space="preserve"> Y</w:t>
      </w:r>
      <w:r>
        <w:rPr>
          <w:rFonts w:asciiTheme="minorHAnsi" w:hAnsiTheme="minorHAnsi" w:cstheme="minorHAnsi"/>
          <w:sz w:val="18"/>
          <w:szCs w:val="18"/>
        </w:rPr>
        <w:t xml:space="preserve">orkshire Universities </w:t>
      </w:r>
      <w:r w:rsidRPr="00451FCC">
        <w:rPr>
          <w:rFonts w:asciiTheme="minorHAnsi" w:hAnsiTheme="minorHAnsi" w:cstheme="minorHAnsi"/>
          <w:sz w:val="18"/>
          <w:szCs w:val="18"/>
        </w:rPr>
        <w:t xml:space="preserve">(2020) Yorkshire’s universities are crucial to the region’s recovery, Yorkshire Universities, Leeds: </w:t>
      </w:r>
    </w:p>
    <w:p w14:paraId="7AB02318" w14:textId="77777777" w:rsidR="0064277F" w:rsidRPr="00451FCC" w:rsidRDefault="00476E33" w:rsidP="0064277F">
      <w:pPr>
        <w:pStyle w:val="NormalWeb"/>
        <w:spacing w:before="0" w:beforeAutospacing="0" w:after="0" w:afterAutospacing="0"/>
        <w:jc w:val="both"/>
        <w:rPr>
          <w:rFonts w:asciiTheme="minorHAnsi" w:hAnsiTheme="minorHAnsi" w:cstheme="minorHAnsi"/>
          <w:color w:val="0000FF"/>
          <w:sz w:val="18"/>
          <w:szCs w:val="18"/>
        </w:rPr>
      </w:pPr>
      <w:hyperlink r:id="rId2" w:history="1">
        <w:r w:rsidR="0064277F" w:rsidRPr="00451FCC">
          <w:rPr>
            <w:rStyle w:val="Hyperlink"/>
            <w:rFonts w:asciiTheme="minorHAnsi" w:hAnsiTheme="minorHAnsi" w:cstheme="minorHAnsi"/>
            <w:sz w:val="18"/>
            <w:szCs w:val="18"/>
          </w:rPr>
          <w:t>https://yorkshireuniversities.ac.uk/2020/06/09/yorkshires-universities-are-crucial-to-the-regions-recovery/</w:t>
        </w:r>
      </w:hyperlink>
      <w:r w:rsidR="0064277F" w:rsidRPr="00451FCC">
        <w:rPr>
          <w:rFonts w:asciiTheme="minorHAnsi" w:hAnsiTheme="minorHAnsi" w:cstheme="minorHAnsi"/>
          <w:color w:val="0000FF"/>
          <w:sz w:val="18"/>
          <w:szCs w:val="18"/>
        </w:rPr>
        <w:t xml:space="preserve"> </w:t>
      </w:r>
    </w:p>
    <w:p w14:paraId="523F505F" w14:textId="77777777" w:rsidR="0064277F" w:rsidRPr="00451FCC" w:rsidRDefault="0064277F" w:rsidP="0064277F">
      <w:pPr>
        <w:pStyle w:val="NormalWeb"/>
        <w:spacing w:before="0" w:beforeAutospacing="0" w:after="0" w:afterAutospacing="0"/>
        <w:jc w:val="both"/>
        <w:rPr>
          <w:rFonts w:asciiTheme="minorHAnsi" w:hAnsiTheme="minorHAnsi" w:cstheme="minorHAnsi"/>
          <w:sz w:val="18"/>
          <w:szCs w:val="18"/>
        </w:rPr>
      </w:pPr>
      <w:r w:rsidRPr="00451FCC">
        <w:rPr>
          <w:rFonts w:asciiTheme="minorHAnsi" w:hAnsiTheme="minorHAnsi" w:cstheme="minorHAnsi"/>
          <w:sz w:val="18"/>
          <w:szCs w:val="18"/>
        </w:rPr>
        <w:t>And:</w:t>
      </w:r>
    </w:p>
    <w:p w14:paraId="61FB21B4" w14:textId="77777777" w:rsidR="0064277F" w:rsidRPr="00451FCC" w:rsidRDefault="00476E33" w:rsidP="0064277F">
      <w:pPr>
        <w:pStyle w:val="NormalWeb"/>
        <w:spacing w:before="0" w:beforeAutospacing="0" w:after="0" w:afterAutospacing="0"/>
        <w:jc w:val="both"/>
        <w:rPr>
          <w:rFonts w:asciiTheme="minorHAnsi" w:hAnsiTheme="minorHAnsi" w:cstheme="minorHAnsi"/>
          <w:sz w:val="18"/>
          <w:szCs w:val="18"/>
        </w:rPr>
      </w:pPr>
      <w:hyperlink r:id="rId3" w:history="1">
        <w:r w:rsidR="0064277F" w:rsidRPr="00451FCC">
          <w:rPr>
            <w:rStyle w:val="Hyperlink"/>
            <w:rFonts w:asciiTheme="minorHAnsi" w:hAnsiTheme="minorHAnsi" w:cstheme="minorHAnsi"/>
            <w:sz w:val="18"/>
            <w:szCs w:val="18"/>
          </w:rPr>
          <w:t>https://www.universitiesuk.ac.uk/covid19/supporting-national-effort/Pages/we-are-together- campaign.aspx</w:t>
        </w:r>
      </w:hyperlink>
      <w:r w:rsidR="0064277F" w:rsidRPr="00451FCC">
        <w:rPr>
          <w:rFonts w:asciiTheme="minorHAnsi" w:hAnsiTheme="minorHAnsi" w:cstheme="minorHAnsi"/>
          <w:color w:val="0000FF"/>
          <w:sz w:val="18"/>
          <w:szCs w:val="18"/>
        </w:rPr>
        <w:t xml:space="preserve"> </w:t>
      </w:r>
    </w:p>
  </w:footnote>
  <w:footnote w:id="3">
    <w:p w14:paraId="7F1D44F1" w14:textId="3C3CBB49" w:rsidR="008443C8" w:rsidRPr="00F55CDC" w:rsidRDefault="008443C8" w:rsidP="00882D65">
      <w:pPr>
        <w:rPr>
          <w:rFonts w:ascii="Times New Roman" w:eastAsia="Times New Roman" w:hAnsi="Times New Roman" w:cs="Times New Roman"/>
          <w:sz w:val="18"/>
          <w:szCs w:val="18"/>
          <w:lang w:eastAsia="en-GB"/>
        </w:rPr>
      </w:pPr>
      <w:r w:rsidRPr="00F55CDC">
        <w:rPr>
          <w:rStyle w:val="FootnoteReference"/>
          <w:sz w:val="18"/>
          <w:szCs w:val="18"/>
        </w:rPr>
        <w:footnoteRef/>
      </w:r>
      <w:r w:rsidRPr="00F55CDC">
        <w:rPr>
          <w:sz w:val="18"/>
          <w:szCs w:val="18"/>
        </w:rPr>
        <w:t xml:space="preserve"> </w:t>
      </w:r>
      <w:r w:rsidRPr="00F55CDC">
        <w:rPr>
          <w:sz w:val="18"/>
          <w:szCs w:val="18"/>
          <w:lang w:val="en-US"/>
        </w:rPr>
        <w:t xml:space="preserve">This section draws on the </w:t>
      </w:r>
      <w:r w:rsidRPr="00F55CDC">
        <w:rPr>
          <w:sz w:val="18"/>
          <w:szCs w:val="18"/>
        </w:rPr>
        <w:t>PERN webinar series, July 2020</w:t>
      </w:r>
      <w:r>
        <w:rPr>
          <w:sz w:val="18"/>
          <w:szCs w:val="18"/>
        </w:rPr>
        <w:t xml:space="preserve">, which included </w:t>
      </w:r>
      <w:r w:rsidRPr="00F55CDC">
        <w:rPr>
          <w:sz w:val="18"/>
          <w:szCs w:val="18"/>
        </w:rPr>
        <w:t xml:space="preserve">presentations by 29 academic experts in economic recovery. </w:t>
      </w:r>
      <w:r>
        <w:rPr>
          <w:sz w:val="18"/>
          <w:szCs w:val="18"/>
        </w:rPr>
        <w:t xml:space="preserve">Especially relevant here were these </w:t>
      </w:r>
      <w:r w:rsidRPr="00F55CDC">
        <w:rPr>
          <w:sz w:val="18"/>
          <w:szCs w:val="18"/>
        </w:rPr>
        <w:t xml:space="preserve">PERN webinars: </w:t>
      </w:r>
      <w:r w:rsidRPr="00F55CDC">
        <w:rPr>
          <w:rFonts w:ascii="Calibri" w:eastAsia="Times New Roman" w:hAnsi="Calibri" w:cs="Calibri"/>
          <w:color w:val="201F1E"/>
          <w:sz w:val="18"/>
          <w:szCs w:val="18"/>
          <w:shd w:val="clear" w:color="auto" w:fill="FFFFFF"/>
          <w:lang w:eastAsia="en-GB"/>
        </w:rPr>
        <w:t>‘</w:t>
      </w:r>
      <w:r w:rsidRPr="00F55CDC">
        <w:rPr>
          <w:rFonts w:ascii="Calibri" w:eastAsia="Times New Roman" w:hAnsi="Calibri" w:cs="Calibri"/>
          <w:color w:val="201F1E"/>
          <w:sz w:val="18"/>
          <w:szCs w:val="18"/>
          <w:lang w:eastAsia="en-GB"/>
        </w:rPr>
        <w:t>Global supply network evolution and Covid-19: a paradigm shift in resilience’, Gary Graham;</w:t>
      </w:r>
      <w:r w:rsidRPr="000B5F24">
        <w:rPr>
          <w:rFonts w:ascii="Calibri" w:eastAsia="Times New Roman" w:hAnsi="Calibri" w:cs="Calibri"/>
          <w:color w:val="201F1E"/>
          <w:sz w:val="18"/>
          <w:szCs w:val="18"/>
          <w:shd w:val="clear" w:color="auto" w:fill="FFFFFF"/>
          <w:lang w:eastAsia="en-GB"/>
        </w:rPr>
        <w:t> </w:t>
      </w:r>
      <w:r w:rsidRPr="00F55CDC">
        <w:rPr>
          <w:rFonts w:ascii="Calibri" w:eastAsia="Times New Roman" w:hAnsi="Calibri" w:cs="Calibri"/>
          <w:color w:val="201F1E"/>
          <w:sz w:val="18"/>
          <w:szCs w:val="18"/>
          <w:shd w:val="clear" w:color="auto" w:fill="FFFFFF"/>
          <w:lang w:eastAsia="en-GB"/>
        </w:rPr>
        <w:t>‘</w:t>
      </w:r>
      <w:r w:rsidRPr="000B5F24">
        <w:rPr>
          <w:rFonts w:ascii="Calibri" w:eastAsia="Times New Roman" w:hAnsi="Calibri" w:cs="Calibri"/>
          <w:color w:val="201F1E"/>
          <w:sz w:val="18"/>
          <w:szCs w:val="18"/>
          <w:lang w:eastAsia="en-GB"/>
        </w:rPr>
        <w:t>Freight and logistics: towards a resilient and green recovery</w:t>
      </w:r>
      <w:r w:rsidRPr="00F55CDC">
        <w:rPr>
          <w:rFonts w:ascii="Calibri" w:eastAsia="Times New Roman" w:hAnsi="Calibri" w:cs="Calibri"/>
          <w:color w:val="201F1E"/>
          <w:sz w:val="18"/>
          <w:szCs w:val="18"/>
          <w:lang w:eastAsia="en-GB"/>
        </w:rPr>
        <w:t xml:space="preserve">’, </w:t>
      </w:r>
      <w:r w:rsidRPr="000B5F24">
        <w:rPr>
          <w:rFonts w:ascii="Calibri" w:eastAsia="Times New Roman" w:hAnsi="Calibri" w:cs="Calibri"/>
          <w:color w:val="201F1E"/>
          <w:sz w:val="18"/>
          <w:szCs w:val="18"/>
          <w:lang w:eastAsia="en-GB"/>
        </w:rPr>
        <w:t xml:space="preserve">Tony </w:t>
      </w:r>
      <w:proofErr w:type="spellStart"/>
      <w:r w:rsidRPr="000B5F24">
        <w:rPr>
          <w:rFonts w:ascii="Calibri" w:eastAsia="Times New Roman" w:hAnsi="Calibri" w:cs="Calibri"/>
          <w:color w:val="201F1E"/>
          <w:sz w:val="18"/>
          <w:szCs w:val="18"/>
          <w:lang w:eastAsia="en-GB"/>
        </w:rPr>
        <w:t>Whiteing</w:t>
      </w:r>
      <w:proofErr w:type="spellEnd"/>
      <w:r w:rsidRPr="00F55CDC">
        <w:rPr>
          <w:rFonts w:ascii="Calibri" w:eastAsia="Times New Roman" w:hAnsi="Calibri" w:cs="Calibri"/>
          <w:color w:val="201F1E"/>
          <w:sz w:val="18"/>
          <w:szCs w:val="18"/>
          <w:lang w:eastAsia="en-GB"/>
        </w:rPr>
        <w:t xml:space="preserve">; </w:t>
      </w:r>
      <w:r w:rsidRPr="00F55CDC">
        <w:rPr>
          <w:rFonts w:ascii="Calibri" w:eastAsia="Times New Roman" w:hAnsi="Calibri" w:cs="Calibri"/>
          <w:color w:val="201F1E"/>
          <w:sz w:val="18"/>
          <w:szCs w:val="18"/>
          <w:shd w:val="clear" w:color="auto" w:fill="FFFFFF"/>
          <w:lang w:eastAsia="en-GB"/>
        </w:rPr>
        <w:t>‘</w:t>
      </w:r>
      <w:r w:rsidRPr="000B5F24">
        <w:rPr>
          <w:rFonts w:ascii="Calibri" w:eastAsia="Times New Roman" w:hAnsi="Calibri" w:cs="Calibri"/>
          <w:color w:val="201F1E"/>
          <w:sz w:val="18"/>
          <w:szCs w:val="18"/>
          <w:lang w:eastAsia="en-GB"/>
        </w:rPr>
        <w:t>Regional food system resilience post Covid-19</w:t>
      </w:r>
      <w:r w:rsidRPr="00F55CDC">
        <w:rPr>
          <w:rFonts w:ascii="Calibri" w:eastAsia="Times New Roman" w:hAnsi="Calibri" w:cs="Calibri"/>
          <w:color w:val="201F1E"/>
          <w:sz w:val="18"/>
          <w:szCs w:val="18"/>
          <w:lang w:eastAsia="en-GB"/>
        </w:rPr>
        <w:t xml:space="preserve">’, </w:t>
      </w:r>
      <w:r w:rsidRPr="000B5F24">
        <w:rPr>
          <w:rFonts w:ascii="Calibri" w:eastAsia="Times New Roman" w:hAnsi="Calibri" w:cs="Calibri"/>
          <w:color w:val="201F1E"/>
          <w:sz w:val="18"/>
          <w:szCs w:val="18"/>
          <w:lang w:eastAsia="en-GB"/>
        </w:rPr>
        <w:t>John Lever</w:t>
      </w:r>
      <w:r w:rsidRPr="00F55CDC">
        <w:rPr>
          <w:rFonts w:ascii="Calibri" w:eastAsia="Times New Roman" w:hAnsi="Calibri" w:cs="Calibri"/>
          <w:color w:val="201F1E"/>
          <w:sz w:val="18"/>
          <w:szCs w:val="18"/>
          <w:lang w:eastAsia="en-GB"/>
        </w:rPr>
        <w:t>;</w:t>
      </w:r>
      <w:r>
        <w:rPr>
          <w:rFonts w:ascii="Calibri" w:eastAsia="Times New Roman" w:hAnsi="Calibri" w:cs="Calibri"/>
          <w:color w:val="201F1E"/>
          <w:sz w:val="18"/>
          <w:szCs w:val="18"/>
          <w:lang w:eastAsia="en-GB"/>
        </w:rPr>
        <w:t xml:space="preserve"> and</w:t>
      </w:r>
      <w:r w:rsidRPr="00F55CDC">
        <w:rPr>
          <w:rFonts w:ascii="Calibri" w:eastAsia="Times New Roman" w:hAnsi="Calibri" w:cs="Calibri"/>
          <w:color w:val="201F1E"/>
          <w:sz w:val="18"/>
          <w:szCs w:val="18"/>
          <w:shd w:val="clear" w:color="auto" w:fill="FFFFFF"/>
          <w:lang w:eastAsia="en-GB"/>
        </w:rPr>
        <w:t> ‘</w:t>
      </w:r>
      <w:r w:rsidRPr="00F55CDC">
        <w:rPr>
          <w:rFonts w:ascii="Calibri" w:eastAsia="Times New Roman" w:hAnsi="Calibri" w:cs="Calibri"/>
          <w:color w:val="201F1E"/>
          <w:sz w:val="18"/>
          <w:szCs w:val="18"/>
          <w:lang w:eastAsia="en-GB"/>
        </w:rPr>
        <w:t xml:space="preserve">Entrepreneurship and regional recovery - is there a silver bullet?’, David </w:t>
      </w:r>
      <w:proofErr w:type="spellStart"/>
      <w:r w:rsidRPr="00F55CDC">
        <w:rPr>
          <w:rFonts w:ascii="Calibri" w:eastAsia="Times New Roman" w:hAnsi="Calibri" w:cs="Calibri"/>
          <w:color w:val="201F1E"/>
          <w:sz w:val="18"/>
          <w:szCs w:val="18"/>
          <w:lang w:eastAsia="en-GB"/>
        </w:rPr>
        <w:t>Devins</w:t>
      </w:r>
      <w:proofErr w:type="spellEnd"/>
      <w:r w:rsidRPr="00F55CDC">
        <w:rPr>
          <w:rFonts w:ascii="Calibri" w:eastAsia="Times New Roman" w:hAnsi="Calibri" w:cs="Calibri"/>
          <w:color w:val="201F1E"/>
          <w:sz w:val="18"/>
          <w:szCs w:val="18"/>
          <w:lang w:eastAsia="en-GB"/>
        </w:rPr>
        <w:t>.</w:t>
      </w:r>
    </w:p>
  </w:footnote>
  <w:footnote w:id="4">
    <w:p w14:paraId="3B1C87D3" w14:textId="77777777" w:rsidR="008443C8" w:rsidRPr="0087437A" w:rsidRDefault="008443C8">
      <w:pPr>
        <w:pStyle w:val="FootnoteText"/>
        <w:rPr>
          <w:rFonts w:cstheme="minorHAnsi"/>
          <w:sz w:val="18"/>
          <w:szCs w:val="18"/>
        </w:rPr>
      </w:pPr>
      <w:r w:rsidRPr="0087437A">
        <w:rPr>
          <w:rStyle w:val="FootnoteReference"/>
          <w:sz w:val="18"/>
          <w:szCs w:val="18"/>
        </w:rPr>
        <w:footnoteRef/>
      </w:r>
      <w:r w:rsidRPr="0087437A">
        <w:rPr>
          <w:sz w:val="18"/>
          <w:szCs w:val="18"/>
        </w:rPr>
        <w:t xml:space="preserve"> A</w:t>
      </w:r>
      <w:r w:rsidRPr="0087437A">
        <w:rPr>
          <w:rFonts w:cstheme="minorHAnsi"/>
          <w:color w:val="000000"/>
          <w:sz w:val="18"/>
          <w:szCs w:val="18"/>
        </w:rPr>
        <w:t xml:space="preserve"> ‘fabric first’ approach recognises that reducing energy demand is the ‘low hanging fruit’ of housing retrofitting; </w:t>
      </w:r>
      <w:r w:rsidRPr="0087437A">
        <w:rPr>
          <w:rFonts w:cstheme="minorHAnsi"/>
          <w:i/>
          <w:iCs/>
          <w:sz w:val="18"/>
          <w:szCs w:val="18"/>
        </w:rPr>
        <w:t>GM Low Carbon Retrofit</w:t>
      </w:r>
      <w:r w:rsidRPr="0087437A">
        <w:rPr>
          <w:rFonts w:cstheme="minorHAnsi"/>
          <w:sz w:val="18"/>
          <w:szCs w:val="18"/>
        </w:rPr>
        <w:t>:</w:t>
      </w:r>
      <w:r w:rsidRPr="0087437A">
        <w:rPr>
          <w:rFonts w:cstheme="minorHAnsi"/>
          <w:color w:val="000000"/>
          <w:sz w:val="18"/>
          <w:szCs w:val="18"/>
        </w:rPr>
        <w:t xml:space="preserve"> </w:t>
      </w:r>
      <w:hyperlink r:id="rId4" w:history="1">
        <w:r w:rsidRPr="0087437A">
          <w:rPr>
            <w:rStyle w:val="Hyperlink"/>
            <w:rFonts w:cstheme="minorHAnsi"/>
            <w:sz w:val="18"/>
            <w:szCs w:val="18"/>
          </w:rPr>
          <w:t>https://www.instituteforsustainability.co.uk/uploads/File/2236_KeySummary03.pdf</w:t>
        </w:r>
      </w:hyperlink>
      <w:r w:rsidRPr="0087437A">
        <w:rPr>
          <w:rFonts w:cstheme="minorHAnsi"/>
          <w:sz w:val="18"/>
          <w:szCs w:val="18"/>
        </w:rPr>
        <w:t xml:space="preserve"> </w:t>
      </w:r>
    </w:p>
    <w:p w14:paraId="6EE3F9C1" w14:textId="03DBD82B" w:rsidR="008443C8" w:rsidRPr="0087437A" w:rsidRDefault="008443C8">
      <w:pPr>
        <w:pStyle w:val="FootnoteText"/>
        <w:rPr>
          <w:sz w:val="18"/>
          <w:szCs w:val="18"/>
          <w:lang w:val="en-US"/>
        </w:rPr>
      </w:pPr>
      <w:r w:rsidRPr="0087437A">
        <w:rPr>
          <w:rFonts w:cstheme="minorHAnsi"/>
          <w:sz w:val="18"/>
          <w:szCs w:val="18"/>
        </w:rPr>
        <w:t xml:space="preserve">Also: Stafford, A., Gorse, C., &amp; Shao, L. (2011). </w:t>
      </w:r>
      <w:r w:rsidRPr="0087437A">
        <w:rPr>
          <w:rFonts w:cstheme="minorHAnsi"/>
          <w:i/>
          <w:iCs/>
          <w:sz w:val="18"/>
          <w:szCs w:val="18"/>
        </w:rPr>
        <w:t>The retrofit challenge: Delivering low carbon buildings</w:t>
      </w:r>
      <w:r w:rsidRPr="0087437A">
        <w:rPr>
          <w:rFonts w:cstheme="minorHAnsi"/>
          <w:sz w:val="18"/>
          <w:szCs w:val="18"/>
        </w:rPr>
        <w:t>. York: Centre for Low Carbon Futures.</w:t>
      </w:r>
    </w:p>
  </w:footnote>
  <w:footnote w:id="5">
    <w:p w14:paraId="5B4BA636" w14:textId="3A75AE1E" w:rsidR="008443C8" w:rsidRPr="006448A8" w:rsidRDefault="008443C8" w:rsidP="006448A8">
      <w:pPr>
        <w:spacing w:after="0"/>
        <w:rPr>
          <w:rFonts w:cstheme="minorHAnsi"/>
          <w:sz w:val="18"/>
          <w:szCs w:val="18"/>
        </w:rPr>
      </w:pPr>
      <w:r w:rsidRPr="006448A8">
        <w:rPr>
          <w:rStyle w:val="FootnoteReference"/>
          <w:sz w:val="18"/>
          <w:szCs w:val="18"/>
        </w:rPr>
        <w:footnoteRef/>
      </w:r>
      <w:r w:rsidRPr="006448A8">
        <w:rPr>
          <w:sz w:val="18"/>
          <w:szCs w:val="18"/>
        </w:rPr>
        <w:t xml:space="preserve"> WYCA, July 2020: </w:t>
      </w:r>
      <w:hyperlink r:id="rId5" w:history="1">
        <w:r w:rsidRPr="006448A8">
          <w:rPr>
            <w:rStyle w:val="Hyperlink"/>
            <w:rFonts w:cstheme="minorHAnsi"/>
            <w:sz w:val="18"/>
            <w:szCs w:val="18"/>
          </w:rPr>
          <w:t>https://www.westyorks-ca.gov.uk/media/4277/west-yorkshire-carbon-emission-reduction-pathways-technical-report-draft-v7-1.pdf</w:t>
        </w:r>
      </w:hyperlink>
      <w:r w:rsidRPr="006448A8">
        <w:rPr>
          <w:rFonts w:cstheme="minorHAnsi"/>
          <w:sz w:val="18"/>
          <w:szCs w:val="18"/>
        </w:rPr>
        <w:t xml:space="preserve"> </w:t>
      </w:r>
    </w:p>
  </w:footnote>
  <w:footnote w:id="6">
    <w:p w14:paraId="5241E719" w14:textId="5B86DE16" w:rsidR="008443C8" w:rsidRPr="007E65AB" w:rsidRDefault="008443C8" w:rsidP="007E65AB">
      <w:pPr>
        <w:pStyle w:val="FootnoteText"/>
        <w:rPr>
          <w:sz w:val="18"/>
          <w:szCs w:val="18"/>
          <w:lang w:val="en-US"/>
        </w:rPr>
      </w:pPr>
      <w:r w:rsidRPr="007E65AB">
        <w:rPr>
          <w:rStyle w:val="FootnoteReference"/>
          <w:sz w:val="18"/>
          <w:szCs w:val="18"/>
        </w:rPr>
        <w:footnoteRef/>
      </w:r>
      <w:r w:rsidRPr="007E65AB">
        <w:rPr>
          <w:sz w:val="18"/>
          <w:szCs w:val="18"/>
        </w:rPr>
        <w:t xml:space="preserve"> </w:t>
      </w:r>
      <w:r w:rsidRPr="007E65AB">
        <w:rPr>
          <w:sz w:val="18"/>
          <w:szCs w:val="18"/>
          <w:lang w:val="en-US"/>
        </w:rPr>
        <w:t xml:space="preserve">According to research undertaken at Sheffield University: </w:t>
      </w:r>
      <w:hyperlink r:id="rId6" w:history="1">
        <w:r w:rsidRPr="007E65AB">
          <w:rPr>
            <w:rStyle w:val="Hyperlink"/>
            <w:rFonts w:cstheme="minorHAnsi"/>
            <w:sz w:val="18"/>
            <w:szCs w:val="18"/>
          </w:rPr>
          <w:t>https://www.sheffield.ac.uk/polopoly_fs/1.119440!/file/FinalRep.pdf</w:t>
        </w:r>
      </w:hyperlink>
    </w:p>
  </w:footnote>
  <w:footnote w:id="7">
    <w:p w14:paraId="76025348" w14:textId="3480466B" w:rsidR="008443C8" w:rsidRPr="007B0E9A" w:rsidRDefault="008443C8">
      <w:pPr>
        <w:pStyle w:val="FootnoteText"/>
        <w:rPr>
          <w:sz w:val="18"/>
          <w:szCs w:val="18"/>
          <w:lang w:val="en-US"/>
        </w:rPr>
      </w:pPr>
      <w:r w:rsidRPr="007B0E9A">
        <w:rPr>
          <w:rStyle w:val="FootnoteReference"/>
          <w:sz w:val="18"/>
          <w:szCs w:val="18"/>
        </w:rPr>
        <w:footnoteRef/>
      </w:r>
      <w:hyperlink r:id="rId7" w:history="1">
        <w:r w:rsidRPr="007B0E9A">
          <w:rPr>
            <w:rStyle w:val="Hyperlink"/>
            <w:sz w:val="18"/>
            <w:szCs w:val="18"/>
          </w:rPr>
          <w:t>https://assets.publishing.service.gov.uk/government/uploads/system/uploads/attachment_data/file/578749/Each_Home_Counts__December_2016_.pdf</w:t>
        </w:r>
      </w:hyperlink>
      <w:r w:rsidRPr="007B0E9A">
        <w:rPr>
          <w:sz w:val="18"/>
          <w:szCs w:val="18"/>
        </w:rPr>
        <w:t xml:space="preserve"> p. 40</w:t>
      </w:r>
    </w:p>
  </w:footnote>
  <w:footnote w:id="8">
    <w:p w14:paraId="39A8FA04" w14:textId="53D78DA1" w:rsidR="008443C8" w:rsidRPr="000B7F1A" w:rsidRDefault="008443C8">
      <w:pPr>
        <w:pStyle w:val="FootnoteText"/>
        <w:rPr>
          <w:sz w:val="18"/>
          <w:szCs w:val="18"/>
          <w:lang w:val="en-US"/>
        </w:rPr>
      </w:pPr>
      <w:r w:rsidRPr="000B7F1A">
        <w:rPr>
          <w:rStyle w:val="FootnoteReference"/>
          <w:sz w:val="18"/>
          <w:szCs w:val="18"/>
        </w:rPr>
        <w:footnoteRef/>
      </w:r>
      <w:r w:rsidRPr="000B7F1A">
        <w:rPr>
          <w:sz w:val="18"/>
          <w:szCs w:val="18"/>
        </w:rPr>
        <w:t xml:space="preserve"> </w:t>
      </w:r>
      <w:hyperlink r:id="rId8" w:history="1">
        <w:r w:rsidRPr="000B7F1A">
          <w:rPr>
            <w:rStyle w:val="Hyperlink"/>
            <w:sz w:val="18"/>
            <w:szCs w:val="18"/>
          </w:rPr>
          <w:t>http://eprints.whiterose.ac.uk/114101/3/8-207-17_Topouzi%20et%20al_Paper020317.pdf</w:t>
        </w:r>
      </w:hyperlink>
      <w:r w:rsidRPr="000B7F1A">
        <w:rPr>
          <w:rStyle w:val="Hyperlink"/>
          <w:sz w:val="18"/>
          <w:szCs w:val="18"/>
        </w:rPr>
        <w:t xml:space="preserve"> </w:t>
      </w:r>
    </w:p>
  </w:footnote>
  <w:footnote w:id="9">
    <w:p w14:paraId="0EE89127" w14:textId="77777777" w:rsidR="008443C8" w:rsidRPr="00BC059B" w:rsidRDefault="008443C8" w:rsidP="00AD3FFD">
      <w:pPr>
        <w:pStyle w:val="FootnoteText"/>
        <w:rPr>
          <w:sz w:val="18"/>
          <w:szCs w:val="18"/>
          <w:lang w:val="en-US"/>
        </w:rPr>
      </w:pPr>
      <w:r w:rsidRPr="00BC059B">
        <w:rPr>
          <w:rStyle w:val="FootnoteReference"/>
          <w:sz w:val="18"/>
          <w:szCs w:val="18"/>
        </w:rPr>
        <w:footnoteRef/>
      </w:r>
      <w:hyperlink r:id="rId9" w:history="1">
        <w:r w:rsidRPr="00BC059B">
          <w:rPr>
            <w:rStyle w:val="Hyperlink"/>
            <w:rFonts w:cstheme="minorHAnsi"/>
            <w:sz w:val="18"/>
            <w:szCs w:val="18"/>
          </w:rPr>
          <w:t>https://www.sheffield.ac.uk/polopoly_fs/1.119440!/file/FinalRep.pdf</w:t>
        </w:r>
      </w:hyperlink>
      <w:r w:rsidRPr="00BC059B">
        <w:rPr>
          <w:rStyle w:val="Hyperlink"/>
          <w:rFonts w:cstheme="minorHAnsi"/>
          <w:sz w:val="18"/>
          <w:szCs w:val="18"/>
          <w:u w:val="none"/>
        </w:rPr>
        <w:t xml:space="preserve"> </w:t>
      </w:r>
      <w:r w:rsidRPr="00BC059B">
        <w:rPr>
          <w:rStyle w:val="Hyperlink"/>
          <w:rFonts w:cstheme="minorHAnsi"/>
          <w:color w:val="auto"/>
          <w:sz w:val="18"/>
          <w:szCs w:val="18"/>
          <w:u w:val="none"/>
        </w:rPr>
        <w:t>p. 29</w:t>
      </w:r>
    </w:p>
  </w:footnote>
  <w:footnote w:id="10">
    <w:p w14:paraId="0A2F43E8" w14:textId="74075DE0" w:rsidR="008443C8" w:rsidRPr="00AD3FFD" w:rsidRDefault="008443C8" w:rsidP="00B97057">
      <w:pPr>
        <w:pStyle w:val="FootnoteText"/>
        <w:rPr>
          <w:sz w:val="18"/>
          <w:szCs w:val="18"/>
        </w:rPr>
      </w:pPr>
      <w:r w:rsidRPr="00AD3FFD">
        <w:rPr>
          <w:rStyle w:val="FootnoteReference"/>
          <w:sz w:val="18"/>
          <w:szCs w:val="18"/>
        </w:rPr>
        <w:footnoteRef/>
      </w:r>
      <w:r w:rsidRPr="00AD3FFD">
        <w:rPr>
          <w:sz w:val="18"/>
          <w:szCs w:val="18"/>
        </w:rPr>
        <w:t xml:space="preserve"> </w:t>
      </w:r>
      <w:r>
        <w:rPr>
          <w:sz w:val="18"/>
          <w:szCs w:val="18"/>
        </w:rPr>
        <w:t xml:space="preserve">Note that </w:t>
      </w:r>
      <w:r w:rsidRPr="00AD3FFD">
        <w:rPr>
          <w:sz w:val="18"/>
          <w:szCs w:val="18"/>
        </w:rPr>
        <w:t xml:space="preserve">a study conducted </w:t>
      </w:r>
      <w:r>
        <w:rPr>
          <w:sz w:val="18"/>
          <w:szCs w:val="18"/>
        </w:rPr>
        <w:t xml:space="preserve">in </w:t>
      </w:r>
      <w:r w:rsidRPr="00AD3FFD">
        <w:rPr>
          <w:sz w:val="18"/>
          <w:szCs w:val="18"/>
        </w:rPr>
        <w:t xml:space="preserve">the Greater Manchester region, which </w:t>
      </w:r>
      <w:r>
        <w:rPr>
          <w:sz w:val="18"/>
          <w:szCs w:val="18"/>
        </w:rPr>
        <w:t xml:space="preserve">is </w:t>
      </w:r>
      <w:r w:rsidRPr="00AD3FFD">
        <w:rPr>
          <w:sz w:val="18"/>
          <w:szCs w:val="18"/>
        </w:rPr>
        <w:t xml:space="preserve">similar </w:t>
      </w:r>
      <w:r>
        <w:rPr>
          <w:sz w:val="18"/>
          <w:szCs w:val="18"/>
        </w:rPr>
        <w:t xml:space="preserve">in </w:t>
      </w:r>
      <w:r w:rsidRPr="00AD3FFD">
        <w:rPr>
          <w:sz w:val="18"/>
          <w:szCs w:val="18"/>
        </w:rPr>
        <w:t>population size</w:t>
      </w:r>
      <w:r>
        <w:rPr>
          <w:sz w:val="18"/>
          <w:szCs w:val="18"/>
        </w:rPr>
        <w:t xml:space="preserve"> and housing characteristics to</w:t>
      </w:r>
      <w:r w:rsidRPr="00AD3FFD">
        <w:rPr>
          <w:sz w:val="18"/>
          <w:szCs w:val="18"/>
        </w:rPr>
        <w:t xml:space="preserve"> West Yorkshire, found that £12 billion was required for retrofitting spending to meet the region’s previous climate targets.</w:t>
      </w:r>
    </w:p>
  </w:footnote>
  <w:footnote w:id="11">
    <w:p w14:paraId="72386D5A" w14:textId="195A99F0" w:rsidR="008443C8" w:rsidRPr="00EA7E51" w:rsidRDefault="008443C8" w:rsidP="00EA7E51">
      <w:pPr>
        <w:spacing w:after="0"/>
        <w:rPr>
          <w:rFonts w:cstheme="minorHAnsi"/>
          <w:sz w:val="18"/>
          <w:szCs w:val="18"/>
        </w:rPr>
      </w:pPr>
      <w:r w:rsidRPr="00EA7E51">
        <w:rPr>
          <w:rStyle w:val="FootnoteReference"/>
          <w:sz w:val="18"/>
          <w:szCs w:val="18"/>
        </w:rPr>
        <w:footnoteRef/>
      </w:r>
      <w:r w:rsidRPr="00EA7E51">
        <w:rPr>
          <w:sz w:val="18"/>
          <w:szCs w:val="18"/>
        </w:rPr>
        <w:t xml:space="preserve"> </w:t>
      </w:r>
      <w:hyperlink r:id="rId10" w:history="1">
        <w:r w:rsidRPr="00EA7E51">
          <w:rPr>
            <w:rStyle w:val="Hyperlink"/>
            <w:rFonts w:cstheme="minorHAnsi"/>
            <w:sz w:val="18"/>
            <w:szCs w:val="18"/>
          </w:rPr>
          <w:t>https://assets.publishing.service.gov.uk/government/uploads/system/uploads/attachment</w:t>
        </w:r>
        <w:r w:rsidRPr="00EA7E51">
          <w:rPr>
            <w:rStyle w:val="Hyperlink"/>
            <w:rFonts w:cstheme="minorHAnsi"/>
            <w:sz w:val="18"/>
            <w:szCs w:val="18"/>
          </w:rPr>
          <w:br/>
          <w:t>_data/file/578749/Each_Home_Counts__December_2016_.pdf</w:t>
        </w:r>
      </w:hyperlink>
      <w:r w:rsidRPr="00EA7E51">
        <w:rPr>
          <w:rFonts w:cstheme="minorHAnsi"/>
          <w:sz w:val="18"/>
          <w:szCs w:val="18"/>
        </w:rPr>
        <w:t xml:space="preserve"> p. 41</w:t>
      </w:r>
    </w:p>
  </w:footnote>
  <w:footnote w:id="12">
    <w:p w14:paraId="7F69C75D" w14:textId="77777777" w:rsidR="008443C8" w:rsidRPr="00992EDF" w:rsidRDefault="008443C8" w:rsidP="009578CC">
      <w:pPr>
        <w:pStyle w:val="FootnoteText"/>
        <w:rPr>
          <w:sz w:val="18"/>
          <w:szCs w:val="18"/>
        </w:rPr>
      </w:pPr>
      <w:r w:rsidRPr="00992EDF">
        <w:rPr>
          <w:rStyle w:val="FootnoteReference"/>
          <w:sz w:val="18"/>
          <w:szCs w:val="18"/>
        </w:rPr>
        <w:footnoteRef/>
      </w:r>
      <w:r w:rsidRPr="00992EDF">
        <w:rPr>
          <w:sz w:val="18"/>
          <w:szCs w:val="18"/>
        </w:rPr>
        <w:t xml:space="preserve"> See also PERN webinar on ‘Green Innovation and Management Practices’, Vania </w:t>
      </w:r>
      <w:proofErr w:type="spellStart"/>
      <w:r w:rsidRPr="00992EDF">
        <w:rPr>
          <w:sz w:val="18"/>
          <w:szCs w:val="18"/>
        </w:rPr>
        <w:t>Sena</w:t>
      </w:r>
      <w:proofErr w:type="spellEnd"/>
      <w:r w:rsidRPr="00992EDF">
        <w:rPr>
          <w:sz w:val="18"/>
          <w:szCs w:val="18"/>
        </w:rPr>
        <w:t>.</w:t>
      </w:r>
    </w:p>
  </w:footnote>
  <w:footnote w:id="13">
    <w:p w14:paraId="1812330C" w14:textId="6DD66FC7" w:rsidR="008443C8" w:rsidRDefault="008443C8" w:rsidP="009578CC">
      <w:pPr>
        <w:pStyle w:val="FootnoteText"/>
      </w:pPr>
      <w:r w:rsidRPr="00992EDF">
        <w:rPr>
          <w:rStyle w:val="FootnoteReference"/>
          <w:sz w:val="18"/>
          <w:szCs w:val="18"/>
        </w:rPr>
        <w:footnoteRef/>
      </w:r>
      <w:r w:rsidRPr="00992EDF">
        <w:rPr>
          <w:sz w:val="18"/>
          <w:szCs w:val="18"/>
        </w:rPr>
        <w:t xml:space="preserve"> See also PERN webinar</w:t>
      </w:r>
      <w:r>
        <w:rPr>
          <w:sz w:val="18"/>
          <w:szCs w:val="18"/>
        </w:rPr>
        <w:t>s</w:t>
      </w:r>
      <w:r w:rsidRPr="00992EDF">
        <w:rPr>
          <w:sz w:val="18"/>
          <w:szCs w:val="18"/>
        </w:rPr>
        <w:t xml:space="preserve"> ‘</w:t>
      </w:r>
      <w:r w:rsidRPr="00992EDF">
        <w:rPr>
          <w:rFonts w:cstheme="minorHAnsi"/>
          <w:sz w:val="18"/>
          <w:szCs w:val="18"/>
        </w:rPr>
        <w:t>Creating opportunities for enterprising students’, Leigh Morland and ‘SMEs, scale ups and regional recovery’, Sarah Underwood.</w:t>
      </w:r>
    </w:p>
  </w:footnote>
  <w:footnote w:id="14">
    <w:p w14:paraId="0B6B3992" w14:textId="5DA66608" w:rsidR="008443C8" w:rsidRPr="00573B79" w:rsidRDefault="008443C8">
      <w:pPr>
        <w:pStyle w:val="FootnoteText"/>
        <w:rPr>
          <w:sz w:val="18"/>
          <w:szCs w:val="18"/>
          <w:lang w:val="en-US"/>
        </w:rPr>
      </w:pPr>
      <w:r w:rsidRPr="00573B79">
        <w:rPr>
          <w:rStyle w:val="FootnoteReference"/>
          <w:sz w:val="18"/>
          <w:szCs w:val="18"/>
        </w:rPr>
        <w:footnoteRef/>
      </w:r>
      <w:r w:rsidRPr="00573B79">
        <w:rPr>
          <w:rFonts w:cstheme="minorHAnsi"/>
          <w:sz w:val="18"/>
          <w:szCs w:val="18"/>
        </w:rPr>
        <w:t xml:space="preserve"> </w:t>
      </w:r>
      <w:hyperlink r:id="rId11" w:history="1">
        <w:r w:rsidRPr="00573B79">
          <w:rPr>
            <w:rStyle w:val="Hyperlink"/>
            <w:rFonts w:cstheme="minorHAnsi"/>
            <w:sz w:val="18"/>
            <w:szCs w:val="18"/>
          </w:rPr>
          <w:t>https://www.gov.uk/green-deal-energy-saving-measures</w:t>
        </w:r>
      </w:hyperlink>
    </w:p>
  </w:footnote>
  <w:footnote w:id="15">
    <w:p w14:paraId="7A5F9082" w14:textId="59DBF927" w:rsidR="008443C8" w:rsidRPr="00573B79" w:rsidRDefault="008443C8">
      <w:pPr>
        <w:pStyle w:val="FootnoteText"/>
        <w:rPr>
          <w:sz w:val="18"/>
          <w:szCs w:val="18"/>
          <w:lang w:val="en-US"/>
        </w:rPr>
      </w:pPr>
      <w:r w:rsidRPr="00573B79">
        <w:rPr>
          <w:rStyle w:val="FootnoteReference"/>
          <w:sz w:val="18"/>
          <w:szCs w:val="18"/>
        </w:rPr>
        <w:footnoteRef/>
      </w:r>
      <w:r>
        <w:rPr>
          <w:rFonts w:cstheme="minorHAnsi"/>
          <w:sz w:val="18"/>
          <w:szCs w:val="18"/>
        </w:rPr>
        <w:t xml:space="preserve"> </w:t>
      </w:r>
      <w:hyperlink r:id="rId12" w:history="1">
        <w:r w:rsidRPr="009C74EC">
          <w:rPr>
            <w:rStyle w:val="Hyperlink"/>
            <w:rFonts w:cstheme="minorHAnsi"/>
            <w:sz w:val="18"/>
            <w:szCs w:val="18"/>
          </w:rPr>
          <w:t>https://www.theguardian.com/environment/2016/apr/14/green-deal-scheme-did-not-deliver-energy-savings-audit-finds</w:t>
        </w:r>
      </w:hyperlink>
    </w:p>
  </w:footnote>
  <w:footnote w:id="16">
    <w:p w14:paraId="62252C4F" w14:textId="10CFAE83" w:rsidR="008443C8" w:rsidRPr="00992EDF" w:rsidRDefault="008443C8" w:rsidP="00367A2D">
      <w:pPr>
        <w:pStyle w:val="FootnoteText"/>
        <w:jc w:val="both"/>
        <w:rPr>
          <w:sz w:val="18"/>
          <w:szCs w:val="18"/>
        </w:rPr>
      </w:pPr>
      <w:r w:rsidRPr="00992EDF">
        <w:rPr>
          <w:rStyle w:val="FootnoteReference"/>
          <w:sz w:val="18"/>
          <w:szCs w:val="18"/>
        </w:rPr>
        <w:footnoteRef/>
      </w:r>
      <w:r w:rsidRPr="00992EDF">
        <w:rPr>
          <w:sz w:val="18"/>
          <w:szCs w:val="18"/>
        </w:rPr>
        <w:t xml:space="preserve"> See also PERN webinar ‘Exploring the role of the UK public sector in supporting business start-ups and scale-ups: evidence from the Leeds City Region’, </w:t>
      </w:r>
      <w:proofErr w:type="spellStart"/>
      <w:r w:rsidRPr="00992EDF">
        <w:rPr>
          <w:sz w:val="18"/>
          <w:szCs w:val="18"/>
        </w:rPr>
        <w:t>Sherif</w:t>
      </w:r>
      <w:proofErr w:type="spellEnd"/>
      <w:r w:rsidRPr="00992EDF">
        <w:rPr>
          <w:sz w:val="18"/>
          <w:szCs w:val="18"/>
        </w:rPr>
        <w:t xml:space="preserve"> Youssef.</w:t>
      </w:r>
      <w:r>
        <w:rPr>
          <w:sz w:val="18"/>
          <w:szCs w:val="18"/>
        </w:rPr>
        <w:t xml:space="preserve"> PERN webinar ‘Green economic recovery, infrastructure and wellbeing: implications for decision-making’, Katy </w:t>
      </w:r>
      <w:proofErr w:type="spellStart"/>
      <w:r>
        <w:rPr>
          <w:sz w:val="18"/>
          <w:szCs w:val="18"/>
        </w:rPr>
        <w:t>Roelich</w:t>
      </w:r>
      <w:proofErr w:type="spellEnd"/>
      <w:r>
        <w:rPr>
          <w:sz w:val="18"/>
          <w:szCs w:val="18"/>
        </w:rPr>
        <w:t xml:space="preserve">. </w:t>
      </w:r>
    </w:p>
  </w:footnote>
  <w:footnote w:id="17">
    <w:p w14:paraId="17E46CAD" w14:textId="1FE09E0A" w:rsidR="008443C8" w:rsidRPr="00FD67FF" w:rsidRDefault="008443C8" w:rsidP="00367A2D">
      <w:pPr>
        <w:pStyle w:val="FootnoteText"/>
        <w:jc w:val="both"/>
        <w:rPr>
          <w:sz w:val="18"/>
          <w:szCs w:val="18"/>
          <w:lang w:val="en-US"/>
        </w:rPr>
      </w:pPr>
      <w:r w:rsidRPr="00FD67FF">
        <w:rPr>
          <w:rStyle w:val="FootnoteReference"/>
          <w:sz w:val="18"/>
          <w:szCs w:val="18"/>
        </w:rPr>
        <w:footnoteRef/>
      </w:r>
      <w:r w:rsidRPr="00FD67FF">
        <w:rPr>
          <w:sz w:val="18"/>
          <w:szCs w:val="18"/>
        </w:rPr>
        <w:t xml:space="preserve"> </w:t>
      </w:r>
      <w:r>
        <w:rPr>
          <w:sz w:val="18"/>
          <w:szCs w:val="18"/>
        </w:rPr>
        <w:t xml:space="preserve">Community focused ‘we psychology’ approaches allow for multiple beneficial contexts. See, for example, PERN webinar ‘The </w:t>
      </w:r>
      <w:proofErr w:type="gramStart"/>
      <w:r>
        <w:rPr>
          <w:sz w:val="18"/>
          <w:szCs w:val="18"/>
        </w:rPr>
        <w:t>fifteen minute</w:t>
      </w:r>
      <w:proofErr w:type="gramEnd"/>
      <w:r>
        <w:rPr>
          <w:sz w:val="18"/>
          <w:szCs w:val="18"/>
        </w:rPr>
        <w:t xml:space="preserve"> neighbourhood’, Paul Chatterton. </w:t>
      </w:r>
    </w:p>
  </w:footnote>
  <w:footnote w:id="18">
    <w:p w14:paraId="17CC2B7B" w14:textId="261ADB6F" w:rsidR="008443C8" w:rsidRPr="00F55CDC" w:rsidRDefault="008443C8" w:rsidP="00F55CDC">
      <w:pPr>
        <w:spacing w:after="0"/>
        <w:jc w:val="both"/>
        <w:rPr>
          <w:rFonts w:ascii="Times New Roman" w:eastAsia="Times New Roman" w:hAnsi="Times New Roman" w:cs="Times New Roman"/>
          <w:sz w:val="18"/>
          <w:szCs w:val="18"/>
          <w:lang w:eastAsia="en-GB"/>
        </w:rPr>
      </w:pPr>
      <w:r w:rsidRPr="00F55CDC">
        <w:rPr>
          <w:rStyle w:val="FootnoteReference"/>
          <w:sz w:val="18"/>
          <w:szCs w:val="18"/>
        </w:rPr>
        <w:footnoteRef/>
      </w:r>
      <w:r w:rsidRPr="00F55CDC">
        <w:rPr>
          <w:sz w:val="18"/>
          <w:szCs w:val="18"/>
        </w:rPr>
        <w:t xml:space="preserve"> See also PERN webinar on ‘Metrics for Post-Covid19 Recovery’, Arpita Bhattacharjee. And PERN webinar</w:t>
      </w:r>
      <w:r w:rsidRPr="00F55CDC">
        <w:rPr>
          <w:rFonts w:ascii="Calibri" w:eastAsia="Times New Roman" w:hAnsi="Calibri" w:cs="Calibri"/>
          <w:color w:val="201F1E"/>
          <w:sz w:val="18"/>
          <w:szCs w:val="18"/>
          <w:shd w:val="clear" w:color="auto" w:fill="FFFFFF"/>
          <w:lang w:eastAsia="en-GB"/>
        </w:rPr>
        <w:t> ‘</w:t>
      </w:r>
      <w:r w:rsidRPr="00F55CDC">
        <w:rPr>
          <w:rFonts w:ascii="Calibri" w:eastAsia="Times New Roman" w:hAnsi="Calibri" w:cs="Calibri"/>
          <w:color w:val="201F1E"/>
          <w:sz w:val="18"/>
          <w:szCs w:val="18"/>
          <w:lang w:eastAsia="en-GB"/>
        </w:rPr>
        <w:t xml:space="preserve">Recovering towns and cities with a circular economy’, Anne </w:t>
      </w:r>
      <w:proofErr w:type="spellStart"/>
      <w:r w:rsidRPr="00F55CDC">
        <w:rPr>
          <w:rFonts w:ascii="Calibri" w:eastAsia="Times New Roman" w:hAnsi="Calibri" w:cs="Calibri"/>
          <w:color w:val="201F1E"/>
          <w:sz w:val="18"/>
          <w:szCs w:val="18"/>
          <w:lang w:eastAsia="en-GB"/>
        </w:rPr>
        <w:t>Velenturf</w:t>
      </w:r>
      <w:proofErr w:type="spellEnd"/>
      <w:r w:rsidRPr="00F55CDC">
        <w:rPr>
          <w:rFonts w:ascii="Calibri" w:eastAsia="Times New Roman" w:hAnsi="Calibri" w:cs="Calibri"/>
          <w:color w:val="201F1E"/>
          <w:sz w:val="18"/>
          <w:szCs w:val="18"/>
          <w:lang w:eastAsia="en-GB"/>
        </w:rPr>
        <w:t>.</w:t>
      </w:r>
    </w:p>
  </w:footnote>
  <w:footnote w:id="19">
    <w:p w14:paraId="7C41F4ED" w14:textId="32DDBC4B" w:rsidR="008443C8" w:rsidRPr="00992EDF" w:rsidRDefault="008443C8" w:rsidP="00A6709D">
      <w:pPr>
        <w:pStyle w:val="FootnoteText"/>
        <w:rPr>
          <w:sz w:val="18"/>
          <w:szCs w:val="18"/>
        </w:rPr>
      </w:pPr>
      <w:r w:rsidRPr="00F55CDC">
        <w:rPr>
          <w:rStyle w:val="FootnoteReference"/>
          <w:sz w:val="18"/>
          <w:szCs w:val="18"/>
        </w:rPr>
        <w:footnoteRef/>
      </w:r>
      <w:r w:rsidRPr="00F55CDC">
        <w:rPr>
          <w:sz w:val="18"/>
          <w:szCs w:val="18"/>
        </w:rPr>
        <w:t xml:space="preserve"> See also P</w:t>
      </w:r>
      <w:r w:rsidRPr="00992EDF">
        <w:rPr>
          <w:sz w:val="18"/>
          <w:szCs w:val="18"/>
        </w:rPr>
        <w:t xml:space="preserve">ERN webinar on ‘Rethinking value for regional recovery’, Elke </w:t>
      </w:r>
      <w:proofErr w:type="spellStart"/>
      <w:r w:rsidRPr="00992EDF">
        <w:rPr>
          <w:sz w:val="18"/>
          <w:szCs w:val="18"/>
        </w:rPr>
        <w:t>Pirgmaier</w:t>
      </w:r>
      <w:proofErr w:type="spellEnd"/>
      <w:r w:rsidRPr="00992EDF">
        <w:rPr>
          <w:sz w:val="18"/>
          <w:szCs w:val="18"/>
        </w:rPr>
        <w:t xml:space="preserve"> and Andrew Brown.</w:t>
      </w:r>
      <w:r>
        <w:rPr>
          <w:sz w:val="18"/>
          <w:szCs w:val="18"/>
        </w:rPr>
        <w:t xml:space="preserve"> </w:t>
      </w:r>
      <w:r w:rsidRPr="00FD67FF">
        <w:rPr>
          <w:sz w:val="18"/>
          <w:szCs w:val="18"/>
          <w:lang w:val="en-US"/>
        </w:rPr>
        <w:t xml:space="preserve">‘Citizen financing’ initiatives </w:t>
      </w:r>
      <w:proofErr w:type="gramStart"/>
      <w:r w:rsidRPr="00FD67FF">
        <w:rPr>
          <w:sz w:val="18"/>
          <w:szCs w:val="18"/>
          <w:lang w:val="en-US"/>
        </w:rPr>
        <w:t>provide</w:t>
      </w:r>
      <w:r>
        <w:rPr>
          <w:sz w:val="18"/>
          <w:szCs w:val="18"/>
          <w:lang w:val="en-US"/>
        </w:rPr>
        <w:t>s</w:t>
      </w:r>
      <w:proofErr w:type="gramEnd"/>
      <w:r w:rsidRPr="00FD67FF">
        <w:rPr>
          <w:sz w:val="18"/>
          <w:szCs w:val="18"/>
          <w:lang w:val="en-US"/>
        </w:rPr>
        <w:t xml:space="preserve"> another</w:t>
      </w:r>
      <w:r>
        <w:rPr>
          <w:sz w:val="18"/>
          <w:szCs w:val="18"/>
          <w:lang w:val="en-US"/>
        </w:rPr>
        <w:t xml:space="preserve"> funding</w:t>
      </w:r>
      <w:r w:rsidRPr="00FD67FF">
        <w:rPr>
          <w:sz w:val="18"/>
          <w:szCs w:val="18"/>
          <w:lang w:val="en-US"/>
        </w:rPr>
        <w:t xml:space="preserve"> dimension</w:t>
      </w:r>
      <w:r>
        <w:rPr>
          <w:sz w:val="18"/>
          <w:szCs w:val="18"/>
          <w:lang w:val="en-US"/>
        </w:rPr>
        <w:t>. See PERN webinar ‘Financing for society’, Mark Davis and Laura Cartwright.</w:t>
      </w:r>
    </w:p>
  </w:footnote>
  <w:footnote w:id="20">
    <w:p w14:paraId="09F12D46" w14:textId="0969E7CF" w:rsidR="008443C8" w:rsidRDefault="008443C8" w:rsidP="00C524E2">
      <w:pPr>
        <w:pStyle w:val="FootnoteText"/>
      </w:pPr>
      <w:r>
        <w:rPr>
          <w:rStyle w:val="FootnoteReference"/>
        </w:rPr>
        <w:footnoteRef/>
      </w:r>
      <w:r>
        <w:t xml:space="preserve"> </w:t>
      </w:r>
      <w:r w:rsidRPr="00A645D1">
        <w:rPr>
          <w:rFonts w:asciiTheme="majorHAnsi" w:hAnsiTheme="majorHAnsi"/>
        </w:rPr>
        <w:t xml:space="preserve">The section draws form the </w:t>
      </w:r>
      <w:proofErr w:type="spellStart"/>
      <w:r w:rsidRPr="00A645D1">
        <w:rPr>
          <w:rFonts w:asciiTheme="majorHAnsi" w:hAnsiTheme="majorHAnsi"/>
        </w:rPr>
        <w:t>iCASP</w:t>
      </w:r>
      <w:proofErr w:type="spellEnd"/>
      <w:r w:rsidRPr="00A645D1">
        <w:rPr>
          <w:rFonts w:asciiTheme="majorHAnsi" w:hAnsiTheme="majorHAnsi"/>
        </w:rPr>
        <w:t xml:space="preserve"> GBI Busines case project.</w:t>
      </w:r>
      <w:r>
        <w:t xml:space="preserve"> </w:t>
      </w:r>
      <w:r>
        <w:rPr>
          <w:rFonts w:asciiTheme="majorHAnsi" w:hAnsiTheme="majorHAnsi"/>
        </w:rPr>
        <w:t xml:space="preserve">Elements of system-of-systems principles are drawn from HMT’s recent rewrite of its </w:t>
      </w:r>
      <w:r>
        <w:rPr>
          <w:rFonts w:asciiTheme="majorHAnsi" w:hAnsiTheme="majorHAnsi"/>
          <w:i/>
          <w:iCs/>
        </w:rPr>
        <w:t>V</w:t>
      </w:r>
      <w:r w:rsidRPr="00431851">
        <w:rPr>
          <w:rFonts w:asciiTheme="majorHAnsi" w:hAnsiTheme="majorHAnsi"/>
          <w:i/>
          <w:iCs/>
        </w:rPr>
        <w:t xml:space="preserve">aluing </w:t>
      </w:r>
      <w:r>
        <w:rPr>
          <w:rFonts w:asciiTheme="majorHAnsi" w:hAnsiTheme="majorHAnsi"/>
          <w:i/>
          <w:iCs/>
        </w:rPr>
        <w:t>I</w:t>
      </w:r>
      <w:r w:rsidRPr="00431851">
        <w:rPr>
          <w:rFonts w:asciiTheme="majorHAnsi" w:hAnsiTheme="majorHAnsi"/>
          <w:i/>
          <w:iCs/>
        </w:rPr>
        <w:t xml:space="preserve">nfrastructure </w:t>
      </w:r>
      <w:r>
        <w:rPr>
          <w:rFonts w:asciiTheme="majorHAnsi" w:hAnsiTheme="majorHAnsi"/>
          <w:i/>
          <w:iCs/>
        </w:rPr>
        <w:t>S</w:t>
      </w:r>
      <w:r w:rsidRPr="00431851">
        <w:rPr>
          <w:rFonts w:asciiTheme="majorHAnsi" w:hAnsiTheme="majorHAnsi"/>
          <w:i/>
          <w:iCs/>
        </w:rPr>
        <w:t>pend</w:t>
      </w:r>
      <w:r>
        <w:rPr>
          <w:rFonts w:asciiTheme="majorHAnsi" w:hAnsiTheme="majorHAnsi"/>
        </w:rPr>
        <w:t xml:space="preserve"> guidelines; from discussions of HMT Green Book assessment of strategic ‘missions’ (</w:t>
      </w:r>
      <w:proofErr w:type="gramStart"/>
      <w:r>
        <w:rPr>
          <w:rFonts w:asciiTheme="majorHAnsi" w:hAnsiTheme="majorHAnsi"/>
        </w:rPr>
        <w:t>e.g.</w:t>
      </w:r>
      <w:proofErr w:type="gramEnd"/>
      <w:r>
        <w:rPr>
          <w:rFonts w:asciiTheme="majorHAnsi" w:hAnsiTheme="majorHAnsi"/>
        </w:rPr>
        <w:t xml:space="preserve"> </w:t>
      </w:r>
      <w:proofErr w:type="spellStart"/>
      <w:r>
        <w:rPr>
          <w:rFonts w:asciiTheme="majorHAnsi" w:hAnsiTheme="majorHAnsi"/>
        </w:rPr>
        <w:t>Mazzucato</w:t>
      </w:r>
      <w:proofErr w:type="spellEnd"/>
      <w:r>
        <w:rPr>
          <w:rFonts w:asciiTheme="majorHAnsi" w:hAnsiTheme="majorHAnsi"/>
        </w:rPr>
        <w:t xml:space="preserve"> et al. 2019); from DEFRA circular economy initiatives (e.g. DEFRA / CVORR report by Brown et al. 2020); and from the ‘new public sector economics’ in the ‘political economy’ tradition (e.g. Lind 2019). They were further co-developed with stakeholders in our case studies (see below).</w:t>
      </w:r>
    </w:p>
  </w:footnote>
  <w:footnote w:id="21">
    <w:p w14:paraId="6963E0BA" w14:textId="77777777" w:rsidR="008443C8" w:rsidRDefault="008443C8" w:rsidP="007D6930">
      <w:pPr>
        <w:pStyle w:val="FootnoteText"/>
      </w:pPr>
      <w:r>
        <w:rPr>
          <w:rStyle w:val="FootnoteReference"/>
        </w:rPr>
        <w:footnoteRef/>
      </w:r>
      <w:r>
        <w:t xml:space="preserve"> </w:t>
      </w:r>
      <w:r w:rsidRPr="00B7603B">
        <w:t xml:space="preserve">These </w:t>
      </w:r>
      <w:r>
        <w:t>recommendation</w:t>
      </w:r>
      <w:r w:rsidRPr="00B7603B">
        <w:t xml:space="preserve">s </w:t>
      </w:r>
      <w:r>
        <w:t xml:space="preserve">are intended to </w:t>
      </w:r>
      <w:r w:rsidRPr="00B7603B">
        <w:t xml:space="preserve">complement </w:t>
      </w:r>
      <w:r>
        <w:t>other GBI-related</w:t>
      </w:r>
      <w:r w:rsidRPr="00B7603B">
        <w:t xml:space="preserve"> initiatives such as natural capital accounting.</w:t>
      </w:r>
    </w:p>
  </w:footnote>
  <w:footnote w:id="22">
    <w:p w14:paraId="37B12087" w14:textId="77777777" w:rsidR="008443C8" w:rsidRDefault="008443C8" w:rsidP="007D6930">
      <w:pPr>
        <w:pStyle w:val="FootnoteText"/>
      </w:pPr>
      <w:r>
        <w:rPr>
          <w:rStyle w:val="FootnoteReference"/>
        </w:rPr>
        <w:footnoteRef/>
      </w:r>
      <w:r>
        <w:t xml:space="preserve"> In such cases, economic theory must be rigorously applied in the strategic case and must be based upon ‘system-of-systems’ value theory, not standard value theory.</w:t>
      </w:r>
    </w:p>
  </w:footnote>
  <w:footnote w:id="23">
    <w:p w14:paraId="2139B688" w14:textId="77777777" w:rsidR="008443C8" w:rsidRDefault="008443C8" w:rsidP="007D6930">
      <w:pPr>
        <w:pStyle w:val="FootnoteText"/>
      </w:pPr>
      <w:r>
        <w:rPr>
          <w:rStyle w:val="FootnoteReference"/>
        </w:rPr>
        <w:footnoteRef/>
      </w:r>
      <w:r>
        <w:t xml:space="preserve"> The ‘CVORR’ framework details such an approach applied to waste infrastructure (Brown et al 2020 DEFRA report)</w:t>
      </w:r>
    </w:p>
  </w:footnote>
  <w:footnote w:id="24">
    <w:p w14:paraId="3E1C50EE" w14:textId="77777777" w:rsidR="008443C8" w:rsidRDefault="008443C8" w:rsidP="007D6930">
      <w:pPr>
        <w:pStyle w:val="FootnoteText"/>
      </w:pPr>
      <w:r>
        <w:rPr>
          <w:rStyle w:val="FootnoteReference"/>
        </w:rPr>
        <w:footnoteRef/>
      </w:r>
      <w:r>
        <w:t xml:space="preserve"> Developed for infrastructure decision-making in the MAADM project (</w:t>
      </w:r>
      <w:hyperlink r:id="rId13" w:history="1">
        <w:r>
          <w:rPr>
            <w:rStyle w:val="Hyperlink"/>
          </w:rPr>
          <w:t>https://maadm.leeds.ac.uk/</w:t>
        </w:r>
      </w:hyperlink>
      <w:r>
        <w:t>).</w:t>
      </w:r>
    </w:p>
  </w:footnote>
  <w:footnote w:id="25">
    <w:p w14:paraId="5F5985EA" w14:textId="77777777" w:rsidR="008443C8" w:rsidRDefault="008443C8" w:rsidP="007D6930">
      <w:pPr>
        <w:pStyle w:val="FootnoteText"/>
      </w:pPr>
      <w:r>
        <w:rPr>
          <w:rStyle w:val="FootnoteReference"/>
        </w:rPr>
        <w:footnoteRef/>
      </w:r>
      <w:r>
        <w:t xml:space="preserve"> Our case studies revealed a respect in which the current UK system is fragmented, to the detriment of GBI. Specifically, greater clarity is needed about what counts as acceptable GBI benefits in business cases</w:t>
      </w:r>
      <w:r w:rsidRPr="00C5001A">
        <w:t xml:space="preserve"> </w:t>
      </w:r>
      <w:r>
        <w:t xml:space="preserve">across Govt. departments and over time. Without transparency and timely notification of changes then the ‘goal posts’ (categories of accepted benefits) can appear to move (change), without warning, leading to system failure. Fragmentation of ownership is likewise detrimental in the UK – we found that that publicly owned assets are crucial in enabling innovative new business models and business cases (for details on these points see our tool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3396157"/>
      <w:docPartObj>
        <w:docPartGallery w:val="Page Numbers (Top of Page)"/>
        <w:docPartUnique/>
      </w:docPartObj>
    </w:sdtPr>
    <w:sdtEndPr>
      <w:rPr>
        <w:rStyle w:val="PageNumber"/>
      </w:rPr>
    </w:sdtEndPr>
    <w:sdtContent>
      <w:p w14:paraId="06C4B78A" w14:textId="7CA3FC16" w:rsidR="008443C8" w:rsidRDefault="008443C8" w:rsidP="00A670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8F466" w14:textId="77777777" w:rsidR="008443C8" w:rsidRDefault="008443C8" w:rsidP="00063E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547181"/>
      <w:docPartObj>
        <w:docPartGallery w:val="Page Numbers (Top of Page)"/>
        <w:docPartUnique/>
      </w:docPartObj>
    </w:sdtPr>
    <w:sdtEndPr>
      <w:rPr>
        <w:noProof/>
      </w:rPr>
    </w:sdtEndPr>
    <w:sdtContent>
      <w:p w14:paraId="39328E4F" w14:textId="4BBB028E" w:rsidR="008443C8" w:rsidRDefault="008443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46A15A" w14:textId="77777777" w:rsidR="008443C8" w:rsidRDefault="008443C8" w:rsidP="00063E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4C2FB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1D2084"/>
    <w:multiLevelType w:val="multilevel"/>
    <w:tmpl w:val="1FF4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E2446"/>
    <w:multiLevelType w:val="hybridMultilevel"/>
    <w:tmpl w:val="63A89386"/>
    <w:lvl w:ilvl="0" w:tplc="0C64B3B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65FE4"/>
    <w:multiLevelType w:val="hybridMultilevel"/>
    <w:tmpl w:val="D3F63DB0"/>
    <w:lvl w:ilvl="0" w:tplc="6868E35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2EE8"/>
    <w:multiLevelType w:val="hybridMultilevel"/>
    <w:tmpl w:val="81D07426"/>
    <w:lvl w:ilvl="0" w:tplc="5B52E810">
      <w:start w:val="1"/>
      <w:numFmt w:val="decimal"/>
      <w:lvlText w:val="%1."/>
      <w:lvlJc w:val="left"/>
      <w:pPr>
        <w:ind w:left="720" w:hanging="360"/>
      </w:pPr>
      <w:rPr>
        <w:rFonts w:hint="default"/>
        <w:b/>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F2FD7"/>
    <w:multiLevelType w:val="hybridMultilevel"/>
    <w:tmpl w:val="81D07426"/>
    <w:lvl w:ilvl="0" w:tplc="5B52E810">
      <w:start w:val="1"/>
      <w:numFmt w:val="decimal"/>
      <w:lvlText w:val="%1."/>
      <w:lvlJc w:val="left"/>
      <w:pPr>
        <w:ind w:left="720" w:hanging="360"/>
      </w:pPr>
      <w:rPr>
        <w:rFonts w:hint="default"/>
        <w:b/>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D1882"/>
    <w:multiLevelType w:val="hybridMultilevel"/>
    <w:tmpl w:val="2C82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46765"/>
    <w:multiLevelType w:val="hybridMultilevel"/>
    <w:tmpl w:val="91341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983205C"/>
    <w:multiLevelType w:val="hybridMultilevel"/>
    <w:tmpl w:val="4BAC6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9660E8"/>
    <w:multiLevelType w:val="hybridMultilevel"/>
    <w:tmpl w:val="51244318"/>
    <w:lvl w:ilvl="0" w:tplc="199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31E1D"/>
    <w:multiLevelType w:val="hybridMultilevel"/>
    <w:tmpl w:val="02A2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B7842"/>
    <w:multiLevelType w:val="hybridMultilevel"/>
    <w:tmpl w:val="B7E421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592693"/>
    <w:multiLevelType w:val="hybridMultilevel"/>
    <w:tmpl w:val="195A0C90"/>
    <w:lvl w:ilvl="0" w:tplc="EB64DD94">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48252CE"/>
    <w:multiLevelType w:val="hybridMultilevel"/>
    <w:tmpl w:val="E37A6C12"/>
    <w:lvl w:ilvl="0" w:tplc="0C64B3B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2470C"/>
    <w:multiLevelType w:val="hybridMultilevel"/>
    <w:tmpl w:val="CE6EF58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776CB"/>
    <w:multiLevelType w:val="hybridMultilevel"/>
    <w:tmpl w:val="ED3C9F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326A67"/>
    <w:multiLevelType w:val="hybridMultilevel"/>
    <w:tmpl w:val="82E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C7357"/>
    <w:multiLevelType w:val="hybridMultilevel"/>
    <w:tmpl w:val="4A787552"/>
    <w:lvl w:ilvl="0" w:tplc="94CA9C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CB77C4"/>
    <w:multiLevelType w:val="hybridMultilevel"/>
    <w:tmpl w:val="D93C60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C97DB2"/>
    <w:multiLevelType w:val="hybridMultilevel"/>
    <w:tmpl w:val="396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F6803"/>
    <w:multiLevelType w:val="hybridMultilevel"/>
    <w:tmpl w:val="CD9EB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
  </w:num>
  <w:num w:numId="4">
    <w:abstractNumId w:val="10"/>
  </w:num>
  <w:num w:numId="5">
    <w:abstractNumId w:val="6"/>
  </w:num>
  <w:num w:numId="6">
    <w:abstractNumId w:val="19"/>
  </w:num>
  <w:num w:numId="7">
    <w:abstractNumId w:val="18"/>
  </w:num>
  <w:num w:numId="8">
    <w:abstractNumId w:val="4"/>
  </w:num>
  <w:num w:numId="9">
    <w:abstractNumId w:val="5"/>
  </w:num>
  <w:num w:numId="10">
    <w:abstractNumId w:val="9"/>
  </w:num>
  <w:num w:numId="11">
    <w:abstractNumId w:val="0"/>
  </w:num>
  <w:num w:numId="12">
    <w:abstractNumId w:val="17"/>
  </w:num>
  <w:num w:numId="13">
    <w:abstractNumId w:val="8"/>
  </w:num>
  <w:num w:numId="14">
    <w:abstractNumId w:val="20"/>
  </w:num>
  <w:num w:numId="15">
    <w:abstractNumId w:val="14"/>
  </w:num>
  <w:num w:numId="16">
    <w:abstractNumId w:val="7"/>
  </w:num>
  <w:num w:numId="17">
    <w:abstractNumId w:val="12"/>
  </w:num>
  <w:num w:numId="18">
    <w:abstractNumId w:val="16"/>
  </w:num>
  <w:num w:numId="19">
    <w:abstractNumId w:val="2"/>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B6"/>
    <w:rsid w:val="000004B7"/>
    <w:rsid w:val="00000F0E"/>
    <w:rsid w:val="00001559"/>
    <w:rsid w:val="0000162F"/>
    <w:rsid w:val="00005EC2"/>
    <w:rsid w:val="00006805"/>
    <w:rsid w:val="00006BB1"/>
    <w:rsid w:val="00010C4B"/>
    <w:rsid w:val="000115A7"/>
    <w:rsid w:val="000116D9"/>
    <w:rsid w:val="0001186F"/>
    <w:rsid w:val="00011DD0"/>
    <w:rsid w:val="00012AE0"/>
    <w:rsid w:val="000144C8"/>
    <w:rsid w:val="000157F0"/>
    <w:rsid w:val="00016127"/>
    <w:rsid w:val="000166F2"/>
    <w:rsid w:val="00016C56"/>
    <w:rsid w:val="00016D6A"/>
    <w:rsid w:val="00020851"/>
    <w:rsid w:val="0002509A"/>
    <w:rsid w:val="00026C02"/>
    <w:rsid w:val="00030D0E"/>
    <w:rsid w:val="00031538"/>
    <w:rsid w:val="0003159E"/>
    <w:rsid w:val="00032F94"/>
    <w:rsid w:val="00035301"/>
    <w:rsid w:val="00036170"/>
    <w:rsid w:val="000422D1"/>
    <w:rsid w:val="000427FD"/>
    <w:rsid w:val="000445F3"/>
    <w:rsid w:val="00046EE0"/>
    <w:rsid w:val="0004790E"/>
    <w:rsid w:val="00050F95"/>
    <w:rsid w:val="00051A6C"/>
    <w:rsid w:val="00053EE4"/>
    <w:rsid w:val="00054B1F"/>
    <w:rsid w:val="00056569"/>
    <w:rsid w:val="00057673"/>
    <w:rsid w:val="0006208C"/>
    <w:rsid w:val="00063504"/>
    <w:rsid w:val="000638BE"/>
    <w:rsid w:val="00063E63"/>
    <w:rsid w:val="00063F88"/>
    <w:rsid w:val="0006414B"/>
    <w:rsid w:val="00064D8B"/>
    <w:rsid w:val="0006514E"/>
    <w:rsid w:val="000709EA"/>
    <w:rsid w:val="00070AF0"/>
    <w:rsid w:val="00076158"/>
    <w:rsid w:val="00080A2D"/>
    <w:rsid w:val="00081E12"/>
    <w:rsid w:val="0008245A"/>
    <w:rsid w:val="00084246"/>
    <w:rsid w:val="00084AE8"/>
    <w:rsid w:val="00084E88"/>
    <w:rsid w:val="0008573C"/>
    <w:rsid w:val="00086386"/>
    <w:rsid w:val="00087C93"/>
    <w:rsid w:val="000902EE"/>
    <w:rsid w:val="00091C6C"/>
    <w:rsid w:val="0009304A"/>
    <w:rsid w:val="00093296"/>
    <w:rsid w:val="000934D5"/>
    <w:rsid w:val="000940FB"/>
    <w:rsid w:val="00095998"/>
    <w:rsid w:val="00095C28"/>
    <w:rsid w:val="000976EE"/>
    <w:rsid w:val="000A0582"/>
    <w:rsid w:val="000A08A4"/>
    <w:rsid w:val="000A2101"/>
    <w:rsid w:val="000A30D1"/>
    <w:rsid w:val="000A54B9"/>
    <w:rsid w:val="000A5BCC"/>
    <w:rsid w:val="000A71C0"/>
    <w:rsid w:val="000B03FA"/>
    <w:rsid w:val="000B5480"/>
    <w:rsid w:val="000B5DF3"/>
    <w:rsid w:val="000B5E1F"/>
    <w:rsid w:val="000B5F24"/>
    <w:rsid w:val="000B7146"/>
    <w:rsid w:val="000B7402"/>
    <w:rsid w:val="000B7F1A"/>
    <w:rsid w:val="000C07C4"/>
    <w:rsid w:val="000C3BAA"/>
    <w:rsid w:val="000C434B"/>
    <w:rsid w:val="000C78B8"/>
    <w:rsid w:val="000C7EAA"/>
    <w:rsid w:val="000D0242"/>
    <w:rsid w:val="000D0375"/>
    <w:rsid w:val="000D1A07"/>
    <w:rsid w:val="000D1AD2"/>
    <w:rsid w:val="000D1F3E"/>
    <w:rsid w:val="000D247A"/>
    <w:rsid w:val="000D28B6"/>
    <w:rsid w:val="000D36FE"/>
    <w:rsid w:val="000D53CC"/>
    <w:rsid w:val="000D5AF9"/>
    <w:rsid w:val="000D78B6"/>
    <w:rsid w:val="000E39F5"/>
    <w:rsid w:val="000E3DE2"/>
    <w:rsid w:val="000E402B"/>
    <w:rsid w:val="000E5ADD"/>
    <w:rsid w:val="000E6AA3"/>
    <w:rsid w:val="000E7067"/>
    <w:rsid w:val="000F014D"/>
    <w:rsid w:val="000F1966"/>
    <w:rsid w:val="000F242D"/>
    <w:rsid w:val="000F2A5D"/>
    <w:rsid w:val="000F30FD"/>
    <w:rsid w:val="000F3D54"/>
    <w:rsid w:val="000F426C"/>
    <w:rsid w:val="000F45D0"/>
    <w:rsid w:val="000F619A"/>
    <w:rsid w:val="0010010D"/>
    <w:rsid w:val="001028B7"/>
    <w:rsid w:val="001032FF"/>
    <w:rsid w:val="00105719"/>
    <w:rsid w:val="00106958"/>
    <w:rsid w:val="00113265"/>
    <w:rsid w:val="00114D2A"/>
    <w:rsid w:val="0011624A"/>
    <w:rsid w:val="00117480"/>
    <w:rsid w:val="0012110A"/>
    <w:rsid w:val="001217A8"/>
    <w:rsid w:val="001242DB"/>
    <w:rsid w:val="00124BF7"/>
    <w:rsid w:val="00125DD5"/>
    <w:rsid w:val="00130B2A"/>
    <w:rsid w:val="001317F0"/>
    <w:rsid w:val="0013195F"/>
    <w:rsid w:val="001328BF"/>
    <w:rsid w:val="00133EC7"/>
    <w:rsid w:val="00140127"/>
    <w:rsid w:val="00141A03"/>
    <w:rsid w:val="001444CF"/>
    <w:rsid w:val="00145678"/>
    <w:rsid w:val="00145BFA"/>
    <w:rsid w:val="00146EBF"/>
    <w:rsid w:val="00147DC9"/>
    <w:rsid w:val="00151B32"/>
    <w:rsid w:val="001532D2"/>
    <w:rsid w:val="00153607"/>
    <w:rsid w:val="00153A53"/>
    <w:rsid w:val="00155DFD"/>
    <w:rsid w:val="00160CAD"/>
    <w:rsid w:val="001623E2"/>
    <w:rsid w:val="00162F45"/>
    <w:rsid w:val="001647EB"/>
    <w:rsid w:val="00164C08"/>
    <w:rsid w:val="00164D5F"/>
    <w:rsid w:val="00170BFD"/>
    <w:rsid w:val="001715B2"/>
    <w:rsid w:val="001718AA"/>
    <w:rsid w:val="001740A0"/>
    <w:rsid w:val="001741A5"/>
    <w:rsid w:val="00174DFC"/>
    <w:rsid w:val="001763CC"/>
    <w:rsid w:val="001814B2"/>
    <w:rsid w:val="00181AA3"/>
    <w:rsid w:val="00182A8B"/>
    <w:rsid w:val="00182CFD"/>
    <w:rsid w:val="0018614F"/>
    <w:rsid w:val="001870F6"/>
    <w:rsid w:val="0019130C"/>
    <w:rsid w:val="0019346F"/>
    <w:rsid w:val="00193AC7"/>
    <w:rsid w:val="001948CD"/>
    <w:rsid w:val="00195252"/>
    <w:rsid w:val="00195C66"/>
    <w:rsid w:val="001974FD"/>
    <w:rsid w:val="001A0685"/>
    <w:rsid w:val="001A1413"/>
    <w:rsid w:val="001A1A4A"/>
    <w:rsid w:val="001A3C65"/>
    <w:rsid w:val="001A4044"/>
    <w:rsid w:val="001A44F4"/>
    <w:rsid w:val="001A6448"/>
    <w:rsid w:val="001A744E"/>
    <w:rsid w:val="001A7A0F"/>
    <w:rsid w:val="001B05D1"/>
    <w:rsid w:val="001B0D31"/>
    <w:rsid w:val="001B1DE5"/>
    <w:rsid w:val="001B284A"/>
    <w:rsid w:val="001B2B18"/>
    <w:rsid w:val="001B4365"/>
    <w:rsid w:val="001B50B9"/>
    <w:rsid w:val="001B64AB"/>
    <w:rsid w:val="001C1EA2"/>
    <w:rsid w:val="001C2F59"/>
    <w:rsid w:val="001C32A8"/>
    <w:rsid w:val="001C3F3E"/>
    <w:rsid w:val="001C5391"/>
    <w:rsid w:val="001C6AFC"/>
    <w:rsid w:val="001D0554"/>
    <w:rsid w:val="001D09A1"/>
    <w:rsid w:val="001D1852"/>
    <w:rsid w:val="001D24D2"/>
    <w:rsid w:val="001D25E0"/>
    <w:rsid w:val="001D2AA3"/>
    <w:rsid w:val="001D2E76"/>
    <w:rsid w:val="001D3D75"/>
    <w:rsid w:val="001D405D"/>
    <w:rsid w:val="001D5694"/>
    <w:rsid w:val="001D5A69"/>
    <w:rsid w:val="001D7705"/>
    <w:rsid w:val="001D784C"/>
    <w:rsid w:val="001E0651"/>
    <w:rsid w:val="001E1BA4"/>
    <w:rsid w:val="001E1CB8"/>
    <w:rsid w:val="001E6524"/>
    <w:rsid w:val="001E756A"/>
    <w:rsid w:val="001E7ADA"/>
    <w:rsid w:val="001F0758"/>
    <w:rsid w:val="001F302A"/>
    <w:rsid w:val="001F5687"/>
    <w:rsid w:val="001F5798"/>
    <w:rsid w:val="001F5F5B"/>
    <w:rsid w:val="00200337"/>
    <w:rsid w:val="00200B08"/>
    <w:rsid w:val="00201BCF"/>
    <w:rsid w:val="00203507"/>
    <w:rsid w:val="00204976"/>
    <w:rsid w:val="00205990"/>
    <w:rsid w:val="00205C32"/>
    <w:rsid w:val="00205CDA"/>
    <w:rsid w:val="00207AB2"/>
    <w:rsid w:val="002114E0"/>
    <w:rsid w:val="00213277"/>
    <w:rsid w:val="0021386F"/>
    <w:rsid w:val="002168DA"/>
    <w:rsid w:val="00216E7F"/>
    <w:rsid w:val="00221595"/>
    <w:rsid w:val="00221796"/>
    <w:rsid w:val="0022352D"/>
    <w:rsid w:val="002242D7"/>
    <w:rsid w:val="0022488D"/>
    <w:rsid w:val="002262AA"/>
    <w:rsid w:val="002301CD"/>
    <w:rsid w:val="0023275D"/>
    <w:rsid w:val="00234D7F"/>
    <w:rsid w:val="002350AC"/>
    <w:rsid w:val="00235C71"/>
    <w:rsid w:val="0024289E"/>
    <w:rsid w:val="0024559B"/>
    <w:rsid w:val="0024609A"/>
    <w:rsid w:val="002476A5"/>
    <w:rsid w:val="00253CB2"/>
    <w:rsid w:val="0025412C"/>
    <w:rsid w:val="00254D51"/>
    <w:rsid w:val="00254DD6"/>
    <w:rsid w:val="00256685"/>
    <w:rsid w:val="002600D8"/>
    <w:rsid w:val="00260616"/>
    <w:rsid w:val="002635AE"/>
    <w:rsid w:val="00263BC4"/>
    <w:rsid w:val="00264527"/>
    <w:rsid w:val="00264887"/>
    <w:rsid w:val="00265522"/>
    <w:rsid w:val="002655C7"/>
    <w:rsid w:val="00266F48"/>
    <w:rsid w:val="00271EC3"/>
    <w:rsid w:val="00274A4B"/>
    <w:rsid w:val="00274E96"/>
    <w:rsid w:val="00280283"/>
    <w:rsid w:val="002802B6"/>
    <w:rsid w:val="00281413"/>
    <w:rsid w:val="00281416"/>
    <w:rsid w:val="002843A3"/>
    <w:rsid w:val="0028470F"/>
    <w:rsid w:val="00284DE6"/>
    <w:rsid w:val="00284DFE"/>
    <w:rsid w:val="00285802"/>
    <w:rsid w:val="00285A28"/>
    <w:rsid w:val="00285BFE"/>
    <w:rsid w:val="00286001"/>
    <w:rsid w:val="00287614"/>
    <w:rsid w:val="00290838"/>
    <w:rsid w:val="002941BB"/>
    <w:rsid w:val="002961FE"/>
    <w:rsid w:val="00296B05"/>
    <w:rsid w:val="0029712B"/>
    <w:rsid w:val="002A01AA"/>
    <w:rsid w:val="002B2CD3"/>
    <w:rsid w:val="002B2FF9"/>
    <w:rsid w:val="002B424B"/>
    <w:rsid w:val="002B43B3"/>
    <w:rsid w:val="002B47F2"/>
    <w:rsid w:val="002B6D2A"/>
    <w:rsid w:val="002B7C7E"/>
    <w:rsid w:val="002C11CA"/>
    <w:rsid w:val="002C2797"/>
    <w:rsid w:val="002C4043"/>
    <w:rsid w:val="002C49D9"/>
    <w:rsid w:val="002C49DF"/>
    <w:rsid w:val="002C7657"/>
    <w:rsid w:val="002C7700"/>
    <w:rsid w:val="002D2AA8"/>
    <w:rsid w:val="002D3A86"/>
    <w:rsid w:val="002D5310"/>
    <w:rsid w:val="002E48A1"/>
    <w:rsid w:val="002E5717"/>
    <w:rsid w:val="002E6442"/>
    <w:rsid w:val="002E6F59"/>
    <w:rsid w:val="002E756A"/>
    <w:rsid w:val="002F29C6"/>
    <w:rsid w:val="002F5393"/>
    <w:rsid w:val="002F54C2"/>
    <w:rsid w:val="002F598B"/>
    <w:rsid w:val="002F5F6E"/>
    <w:rsid w:val="002F65CC"/>
    <w:rsid w:val="002F6833"/>
    <w:rsid w:val="002F7D64"/>
    <w:rsid w:val="00300D83"/>
    <w:rsid w:val="00302837"/>
    <w:rsid w:val="00304EA6"/>
    <w:rsid w:val="00304FDC"/>
    <w:rsid w:val="00305473"/>
    <w:rsid w:val="00306ED4"/>
    <w:rsid w:val="00307310"/>
    <w:rsid w:val="0031122A"/>
    <w:rsid w:val="0031195D"/>
    <w:rsid w:val="00313E48"/>
    <w:rsid w:val="00315B25"/>
    <w:rsid w:val="0031658D"/>
    <w:rsid w:val="00316F91"/>
    <w:rsid w:val="00321BDE"/>
    <w:rsid w:val="00321E12"/>
    <w:rsid w:val="00324F85"/>
    <w:rsid w:val="0032661F"/>
    <w:rsid w:val="00326928"/>
    <w:rsid w:val="0033022B"/>
    <w:rsid w:val="00333CD3"/>
    <w:rsid w:val="0033636B"/>
    <w:rsid w:val="003439D1"/>
    <w:rsid w:val="00343D90"/>
    <w:rsid w:val="00346FAC"/>
    <w:rsid w:val="00350BCC"/>
    <w:rsid w:val="00350C55"/>
    <w:rsid w:val="00351AAC"/>
    <w:rsid w:val="00352378"/>
    <w:rsid w:val="00352383"/>
    <w:rsid w:val="00352D0F"/>
    <w:rsid w:val="0035371B"/>
    <w:rsid w:val="003547CC"/>
    <w:rsid w:val="00354890"/>
    <w:rsid w:val="00355389"/>
    <w:rsid w:val="003574AF"/>
    <w:rsid w:val="00357F9A"/>
    <w:rsid w:val="003618A8"/>
    <w:rsid w:val="003618FE"/>
    <w:rsid w:val="00361E1D"/>
    <w:rsid w:val="00361F97"/>
    <w:rsid w:val="00362351"/>
    <w:rsid w:val="0036275F"/>
    <w:rsid w:val="003647D3"/>
    <w:rsid w:val="00365B0B"/>
    <w:rsid w:val="0036715A"/>
    <w:rsid w:val="00367A2D"/>
    <w:rsid w:val="00367A4A"/>
    <w:rsid w:val="00370755"/>
    <w:rsid w:val="00371A5A"/>
    <w:rsid w:val="003727AE"/>
    <w:rsid w:val="00374E4A"/>
    <w:rsid w:val="003802E1"/>
    <w:rsid w:val="0038047A"/>
    <w:rsid w:val="00382C0B"/>
    <w:rsid w:val="003873EA"/>
    <w:rsid w:val="00390278"/>
    <w:rsid w:val="00390281"/>
    <w:rsid w:val="00390652"/>
    <w:rsid w:val="0039107E"/>
    <w:rsid w:val="00392015"/>
    <w:rsid w:val="003922B8"/>
    <w:rsid w:val="003926D7"/>
    <w:rsid w:val="00393E04"/>
    <w:rsid w:val="003940F9"/>
    <w:rsid w:val="003958A2"/>
    <w:rsid w:val="00397B0F"/>
    <w:rsid w:val="00397CA3"/>
    <w:rsid w:val="003A18F3"/>
    <w:rsid w:val="003A1C86"/>
    <w:rsid w:val="003A1F1A"/>
    <w:rsid w:val="003A3E37"/>
    <w:rsid w:val="003A40A0"/>
    <w:rsid w:val="003A4E55"/>
    <w:rsid w:val="003A5CA9"/>
    <w:rsid w:val="003A651A"/>
    <w:rsid w:val="003A7C50"/>
    <w:rsid w:val="003B0F61"/>
    <w:rsid w:val="003B17BA"/>
    <w:rsid w:val="003B285B"/>
    <w:rsid w:val="003B2AF6"/>
    <w:rsid w:val="003B3EF7"/>
    <w:rsid w:val="003B490F"/>
    <w:rsid w:val="003B4D1F"/>
    <w:rsid w:val="003B4E36"/>
    <w:rsid w:val="003B55B8"/>
    <w:rsid w:val="003B5EEF"/>
    <w:rsid w:val="003B63C2"/>
    <w:rsid w:val="003B688A"/>
    <w:rsid w:val="003C4260"/>
    <w:rsid w:val="003C669A"/>
    <w:rsid w:val="003D0B9B"/>
    <w:rsid w:val="003D2316"/>
    <w:rsid w:val="003D4298"/>
    <w:rsid w:val="003D44DC"/>
    <w:rsid w:val="003D66C8"/>
    <w:rsid w:val="003D66C9"/>
    <w:rsid w:val="003D7285"/>
    <w:rsid w:val="003E040B"/>
    <w:rsid w:val="003E0FDA"/>
    <w:rsid w:val="003E1E6A"/>
    <w:rsid w:val="003E1EB9"/>
    <w:rsid w:val="003E3504"/>
    <w:rsid w:val="003E3DC4"/>
    <w:rsid w:val="003E6F43"/>
    <w:rsid w:val="003E7005"/>
    <w:rsid w:val="003E761F"/>
    <w:rsid w:val="003E7F6F"/>
    <w:rsid w:val="003F1F86"/>
    <w:rsid w:val="003F34C4"/>
    <w:rsid w:val="003F3E6D"/>
    <w:rsid w:val="003F401B"/>
    <w:rsid w:val="003F5990"/>
    <w:rsid w:val="003F5E47"/>
    <w:rsid w:val="003F5E5B"/>
    <w:rsid w:val="003F72FF"/>
    <w:rsid w:val="003F74F3"/>
    <w:rsid w:val="0040118A"/>
    <w:rsid w:val="00401C03"/>
    <w:rsid w:val="0040330A"/>
    <w:rsid w:val="00403B79"/>
    <w:rsid w:val="0040423A"/>
    <w:rsid w:val="004047D9"/>
    <w:rsid w:val="00405FC3"/>
    <w:rsid w:val="004117E6"/>
    <w:rsid w:val="00412CF7"/>
    <w:rsid w:val="00413268"/>
    <w:rsid w:val="00413F16"/>
    <w:rsid w:val="004172A0"/>
    <w:rsid w:val="0041733A"/>
    <w:rsid w:val="00421967"/>
    <w:rsid w:val="00424151"/>
    <w:rsid w:val="004261DD"/>
    <w:rsid w:val="00430D72"/>
    <w:rsid w:val="0043164B"/>
    <w:rsid w:val="00432E8C"/>
    <w:rsid w:val="00434727"/>
    <w:rsid w:val="00435304"/>
    <w:rsid w:val="00440BCB"/>
    <w:rsid w:val="00442662"/>
    <w:rsid w:val="00443FED"/>
    <w:rsid w:val="004444F8"/>
    <w:rsid w:val="00445689"/>
    <w:rsid w:val="00445EB6"/>
    <w:rsid w:val="00446E34"/>
    <w:rsid w:val="00450818"/>
    <w:rsid w:val="00451FCC"/>
    <w:rsid w:val="00453C3C"/>
    <w:rsid w:val="00455D82"/>
    <w:rsid w:val="00460A1A"/>
    <w:rsid w:val="00463DDB"/>
    <w:rsid w:val="00464EF4"/>
    <w:rsid w:val="00473D43"/>
    <w:rsid w:val="00474DE6"/>
    <w:rsid w:val="00475D31"/>
    <w:rsid w:val="004767A9"/>
    <w:rsid w:val="00476E23"/>
    <w:rsid w:val="00476E33"/>
    <w:rsid w:val="00477BFC"/>
    <w:rsid w:val="0048074C"/>
    <w:rsid w:val="00481CDB"/>
    <w:rsid w:val="00483593"/>
    <w:rsid w:val="00484191"/>
    <w:rsid w:val="00485F0F"/>
    <w:rsid w:val="00487E04"/>
    <w:rsid w:val="00490603"/>
    <w:rsid w:val="00491AAB"/>
    <w:rsid w:val="00495F5E"/>
    <w:rsid w:val="00497E5E"/>
    <w:rsid w:val="004A1388"/>
    <w:rsid w:val="004A24C8"/>
    <w:rsid w:val="004A4398"/>
    <w:rsid w:val="004A446F"/>
    <w:rsid w:val="004A5B8D"/>
    <w:rsid w:val="004B08E2"/>
    <w:rsid w:val="004B0AC5"/>
    <w:rsid w:val="004B12E7"/>
    <w:rsid w:val="004B299E"/>
    <w:rsid w:val="004B47FD"/>
    <w:rsid w:val="004B4800"/>
    <w:rsid w:val="004B4E77"/>
    <w:rsid w:val="004B6704"/>
    <w:rsid w:val="004B7D41"/>
    <w:rsid w:val="004C007F"/>
    <w:rsid w:val="004C2786"/>
    <w:rsid w:val="004C28FB"/>
    <w:rsid w:val="004C2FE7"/>
    <w:rsid w:val="004C356C"/>
    <w:rsid w:val="004C5F54"/>
    <w:rsid w:val="004C61F3"/>
    <w:rsid w:val="004C6A7D"/>
    <w:rsid w:val="004C79D3"/>
    <w:rsid w:val="004C7B7D"/>
    <w:rsid w:val="004D11F6"/>
    <w:rsid w:val="004D5AC7"/>
    <w:rsid w:val="004D620F"/>
    <w:rsid w:val="004D6D5A"/>
    <w:rsid w:val="004D7D97"/>
    <w:rsid w:val="004D7DB8"/>
    <w:rsid w:val="004D7FF5"/>
    <w:rsid w:val="004E3FC1"/>
    <w:rsid w:val="004E42A4"/>
    <w:rsid w:val="004E5AA8"/>
    <w:rsid w:val="004E5D79"/>
    <w:rsid w:val="004F07F9"/>
    <w:rsid w:val="004F0AD3"/>
    <w:rsid w:val="004F0EB1"/>
    <w:rsid w:val="004F3C60"/>
    <w:rsid w:val="004F443B"/>
    <w:rsid w:val="004F5FB6"/>
    <w:rsid w:val="004F768B"/>
    <w:rsid w:val="00500BC4"/>
    <w:rsid w:val="005030AE"/>
    <w:rsid w:val="0050312E"/>
    <w:rsid w:val="005056CE"/>
    <w:rsid w:val="0050589A"/>
    <w:rsid w:val="00506178"/>
    <w:rsid w:val="0050710A"/>
    <w:rsid w:val="00507846"/>
    <w:rsid w:val="00507E41"/>
    <w:rsid w:val="0051077F"/>
    <w:rsid w:val="0051442D"/>
    <w:rsid w:val="00515A05"/>
    <w:rsid w:val="00515E7F"/>
    <w:rsid w:val="00521804"/>
    <w:rsid w:val="005218E5"/>
    <w:rsid w:val="00523099"/>
    <w:rsid w:val="00524157"/>
    <w:rsid w:val="00526AC4"/>
    <w:rsid w:val="005301EB"/>
    <w:rsid w:val="005306DA"/>
    <w:rsid w:val="00531035"/>
    <w:rsid w:val="0053106F"/>
    <w:rsid w:val="0053173F"/>
    <w:rsid w:val="005317C6"/>
    <w:rsid w:val="0053183E"/>
    <w:rsid w:val="00531F83"/>
    <w:rsid w:val="00532F9F"/>
    <w:rsid w:val="005336E5"/>
    <w:rsid w:val="0053457F"/>
    <w:rsid w:val="00535117"/>
    <w:rsid w:val="00536794"/>
    <w:rsid w:val="0053748A"/>
    <w:rsid w:val="00540568"/>
    <w:rsid w:val="005409FA"/>
    <w:rsid w:val="00540E68"/>
    <w:rsid w:val="00541949"/>
    <w:rsid w:val="005425D1"/>
    <w:rsid w:val="00544380"/>
    <w:rsid w:val="00546825"/>
    <w:rsid w:val="00546A68"/>
    <w:rsid w:val="00550E2F"/>
    <w:rsid w:val="00552703"/>
    <w:rsid w:val="00553070"/>
    <w:rsid w:val="005545D4"/>
    <w:rsid w:val="0055482C"/>
    <w:rsid w:val="00555ED2"/>
    <w:rsid w:val="00556719"/>
    <w:rsid w:val="00560848"/>
    <w:rsid w:val="00561D27"/>
    <w:rsid w:val="00561DE8"/>
    <w:rsid w:val="005636D5"/>
    <w:rsid w:val="00563F3E"/>
    <w:rsid w:val="00565FE8"/>
    <w:rsid w:val="00567A8D"/>
    <w:rsid w:val="00572759"/>
    <w:rsid w:val="0057290F"/>
    <w:rsid w:val="00573963"/>
    <w:rsid w:val="00573B79"/>
    <w:rsid w:val="00573F27"/>
    <w:rsid w:val="0057497D"/>
    <w:rsid w:val="00580C16"/>
    <w:rsid w:val="00581E9A"/>
    <w:rsid w:val="005834E1"/>
    <w:rsid w:val="00584DA1"/>
    <w:rsid w:val="00585274"/>
    <w:rsid w:val="005862CE"/>
    <w:rsid w:val="00587A75"/>
    <w:rsid w:val="0059041F"/>
    <w:rsid w:val="00590CC4"/>
    <w:rsid w:val="005911C4"/>
    <w:rsid w:val="00591EA8"/>
    <w:rsid w:val="0059391D"/>
    <w:rsid w:val="00595513"/>
    <w:rsid w:val="00595D76"/>
    <w:rsid w:val="005965A8"/>
    <w:rsid w:val="005A0832"/>
    <w:rsid w:val="005A1B33"/>
    <w:rsid w:val="005A3F1D"/>
    <w:rsid w:val="005A4348"/>
    <w:rsid w:val="005A5786"/>
    <w:rsid w:val="005B09AB"/>
    <w:rsid w:val="005B0A4D"/>
    <w:rsid w:val="005B397E"/>
    <w:rsid w:val="005B4DCC"/>
    <w:rsid w:val="005B6515"/>
    <w:rsid w:val="005C1AC3"/>
    <w:rsid w:val="005C4EC6"/>
    <w:rsid w:val="005C71E9"/>
    <w:rsid w:val="005C7C0F"/>
    <w:rsid w:val="005D05A7"/>
    <w:rsid w:val="005D1DCC"/>
    <w:rsid w:val="005D1E52"/>
    <w:rsid w:val="005D2305"/>
    <w:rsid w:val="005D42C7"/>
    <w:rsid w:val="005D6CBD"/>
    <w:rsid w:val="005D6DC1"/>
    <w:rsid w:val="005E0667"/>
    <w:rsid w:val="005E1212"/>
    <w:rsid w:val="005E2C0B"/>
    <w:rsid w:val="005E5DAB"/>
    <w:rsid w:val="005F0D81"/>
    <w:rsid w:val="005F1701"/>
    <w:rsid w:val="005F1D70"/>
    <w:rsid w:val="005F2310"/>
    <w:rsid w:val="005F2BA5"/>
    <w:rsid w:val="005F43FE"/>
    <w:rsid w:val="005F52E3"/>
    <w:rsid w:val="00601A06"/>
    <w:rsid w:val="00601C57"/>
    <w:rsid w:val="006031AE"/>
    <w:rsid w:val="00604771"/>
    <w:rsid w:val="00604D0A"/>
    <w:rsid w:val="00605460"/>
    <w:rsid w:val="006061C4"/>
    <w:rsid w:val="00606369"/>
    <w:rsid w:val="00607685"/>
    <w:rsid w:val="00611B57"/>
    <w:rsid w:val="006120DE"/>
    <w:rsid w:val="0061785C"/>
    <w:rsid w:val="00617896"/>
    <w:rsid w:val="00617D98"/>
    <w:rsid w:val="00620F7B"/>
    <w:rsid w:val="006218D6"/>
    <w:rsid w:val="00622438"/>
    <w:rsid w:val="0062526D"/>
    <w:rsid w:val="00625F04"/>
    <w:rsid w:val="006260F3"/>
    <w:rsid w:val="00627E24"/>
    <w:rsid w:val="006311D9"/>
    <w:rsid w:val="00632B58"/>
    <w:rsid w:val="00633F8A"/>
    <w:rsid w:val="006353B9"/>
    <w:rsid w:val="0063558D"/>
    <w:rsid w:val="00640FD1"/>
    <w:rsid w:val="0064277F"/>
    <w:rsid w:val="00642A1C"/>
    <w:rsid w:val="00643056"/>
    <w:rsid w:val="00643F3F"/>
    <w:rsid w:val="006441B4"/>
    <w:rsid w:val="00644832"/>
    <w:rsid w:val="006448A8"/>
    <w:rsid w:val="0064627F"/>
    <w:rsid w:val="00647A9F"/>
    <w:rsid w:val="00653002"/>
    <w:rsid w:val="00654558"/>
    <w:rsid w:val="00654902"/>
    <w:rsid w:val="00655601"/>
    <w:rsid w:val="0065694F"/>
    <w:rsid w:val="006612EB"/>
    <w:rsid w:val="006613A3"/>
    <w:rsid w:val="0066229B"/>
    <w:rsid w:val="006624A4"/>
    <w:rsid w:val="00663F43"/>
    <w:rsid w:val="00665FB6"/>
    <w:rsid w:val="006661FC"/>
    <w:rsid w:val="00667191"/>
    <w:rsid w:val="00670D93"/>
    <w:rsid w:val="00671E29"/>
    <w:rsid w:val="00673FD3"/>
    <w:rsid w:val="00673FE2"/>
    <w:rsid w:val="00675114"/>
    <w:rsid w:val="006800A2"/>
    <w:rsid w:val="00681B42"/>
    <w:rsid w:val="006823AF"/>
    <w:rsid w:val="00682D1B"/>
    <w:rsid w:val="0068505F"/>
    <w:rsid w:val="006850F9"/>
    <w:rsid w:val="00690C1F"/>
    <w:rsid w:val="006910F6"/>
    <w:rsid w:val="00692125"/>
    <w:rsid w:val="006931C7"/>
    <w:rsid w:val="0069460B"/>
    <w:rsid w:val="0069476A"/>
    <w:rsid w:val="00695A7D"/>
    <w:rsid w:val="00695C99"/>
    <w:rsid w:val="00696A44"/>
    <w:rsid w:val="006A2E5E"/>
    <w:rsid w:val="006A3EA6"/>
    <w:rsid w:val="006A3EC3"/>
    <w:rsid w:val="006A411B"/>
    <w:rsid w:val="006A41D9"/>
    <w:rsid w:val="006A5103"/>
    <w:rsid w:val="006A5780"/>
    <w:rsid w:val="006A6D83"/>
    <w:rsid w:val="006A6F1D"/>
    <w:rsid w:val="006B014C"/>
    <w:rsid w:val="006B101C"/>
    <w:rsid w:val="006B1F7D"/>
    <w:rsid w:val="006B2EDA"/>
    <w:rsid w:val="006B40A8"/>
    <w:rsid w:val="006B73C4"/>
    <w:rsid w:val="006B7935"/>
    <w:rsid w:val="006B79F5"/>
    <w:rsid w:val="006C1574"/>
    <w:rsid w:val="006C15C2"/>
    <w:rsid w:val="006C1D82"/>
    <w:rsid w:val="006C22E1"/>
    <w:rsid w:val="006C3F7F"/>
    <w:rsid w:val="006C5E21"/>
    <w:rsid w:val="006C7D0C"/>
    <w:rsid w:val="006D23D3"/>
    <w:rsid w:val="006D3348"/>
    <w:rsid w:val="006D7D37"/>
    <w:rsid w:val="006E0EBA"/>
    <w:rsid w:val="006E2044"/>
    <w:rsid w:val="006E207D"/>
    <w:rsid w:val="006E2499"/>
    <w:rsid w:val="006E2ACD"/>
    <w:rsid w:val="006E539A"/>
    <w:rsid w:val="006E784D"/>
    <w:rsid w:val="006F0133"/>
    <w:rsid w:val="006F02B0"/>
    <w:rsid w:val="006F1378"/>
    <w:rsid w:val="006F18CE"/>
    <w:rsid w:val="006F22DE"/>
    <w:rsid w:val="006F25D1"/>
    <w:rsid w:val="006F462F"/>
    <w:rsid w:val="006F486E"/>
    <w:rsid w:val="006F68AA"/>
    <w:rsid w:val="0070004E"/>
    <w:rsid w:val="00700393"/>
    <w:rsid w:val="00700462"/>
    <w:rsid w:val="00703847"/>
    <w:rsid w:val="00703ECE"/>
    <w:rsid w:val="00704609"/>
    <w:rsid w:val="00704B1F"/>
    <w:rsid w:val="00704EF2"/>
    <w:rsid w:val="007051E6"/>
    <w:rsid w:val="00707800"/>
    <w:rsid w:val="00710D2A"/>
    <w:rsid w:val="00713687"/>
    <w:rsid w:val="00714DD8"/>
    <w:rsid w:val="00715B0F"/>
    <w:rsid w:val="00715E88"/>
    <w:rsid w:val="0071600C"/>
    <w:rsid w:val="00720E05"/>
    <w:rsid w:val="007211C2"/>
    <w:rsid w:val="0072123F"/>
    <w:rsid w:val="00722DD8"/>
    <w:rsid w:val="00724E0E"/>
    <w:rsid w:val="00725378"/>
    <w:rsid w:val="00725382"/>
    <w:rsid w:val="0073069E"/>
    <w:rsid w:val="00730E4D"/>
    <w:rsid w:val="00733376"/>
    <w:rsid w:val="00734F97"/>
    <w:rsid w:val="00735DBD"/>
    <w:rsid w:val="00736E19"/>
    <w:rsid w:val="00737B03"/>
    <w:rsid w:val="007407AE"/>
    <w:rsid w:val="007426C1"/>
    <w:rsid w:val="007454F8"/>
    <w:rsid w:val="00746E96"/>
    <w:rsid w:val="00747C3A"/>
    <w:rsid w:val="00750192"/>
    <w:rsid w:val="007504BF"/>
    <w:rsid w:val="00751126"/>
    <w:rsid w:val="00751C92"/>
    <w:rsid w:val="0075799D"/>
    <w:rsid w:val="00757F5D"/>
    <w:rsid w:val="00763E30"/>
    <w:rsid w:val="007663E8"/>
    <w:rsid w:val="00766984"/>
    <w:rsid w:val="007707FB"/>
    <w:rsid w:val="0077335D"/>
    <w:rsid w:val="00773FF3"/>
    <w:rsid w:val="00775229"/>
    <w:rsid w:val="007776FB"/>
    <w:rsid w:val="00781BCC"/>
    <w:rsid w:val="00781D59"/>
    <w:rsid w:val="00783885"/>
    <w:rsid w:val="00784CAC"/>
    <w:rsid w:val="007857E6"/>
    <w:rsid w:val="007858FD"/>
    <w:rsid w:val="007864A5"/>
    <w:rsid w:val="00790D05"/>
    <w:rsid w:val="0079195C"/>
    <w:rsid w:val="00791B62"/>
    <w:rsid w:val="00792928"/>
    <w:rsid w:val="00792996"/>
    <w:rsid w:val="00793947"/>
    <w:rsid w:val="00795297"/>
    <w:rsid w:val="00796FF7"/>
    <w:rsid w:val="007A0E93"/>
    <w:rsid w:val="007A10EE"/>
    <w:rsid w:val="007A1D5F"/>
    <w:rsid w:val="007A2923"/>
    <w:rsid w:val="007A4162"/>
    <w:rsid w:val="007B02C9"/>
    <w:rsid w:val="007B086E"/>
    <w:rsid w:val="007B0C3A"/>
    <w:rsid w:val="007B0E9A"/>
    <w:rsid w:val="007B0F28"/>
    <w:rsid w:val="007B27D9"/>
    <w:rsid w:val="007B346B"/>
    <w:rsid w:val="007B361A"/>
    <w:rsid w:val="007B3B7C"/>
    <w:rsid w:val="007B701B"/>
    <w:rsid w:val="007C07E1"/>
    <w:rsid w:val="007C1747"/>
    <w:rsid w:val="007C23F7"/>
    <w:rsid w:val="007C24F9"/>
    <w:rsid w:val="007C4F39"/>
    <w:rsid w:val="007C5017"/>
    <w:rsid w:val="007C5933"/>
    <w:rsid w:val="007C6290"/>
    <w:rsid w:val="007C66E3"/>
    <w:rsid w:val="007C6F07"/>
    <w:rsid w:val="007C7110"/>
    <w:rsid w:val="007C760B"/>
    <w:rsid w:val="007D1199"/>
    <w:rsid w:val="007D49F0"/>
    <w:rsid w:val="007D5BE8"/>
    <w:rsid w:val="007D5F10"/>
    <w:rsid w:val="007D6930"/>
    <w:rsid w:val="007E0194"/>
    <w:rsid w:val="007E0E75"/>
    <w:rsid w:val="007E1F66"/>
    <w:rsid w:val="007E285E"/>
    <w:rsid w:val="007E2C4B"/>
    <w:rsid w:val="007E33E5"/>
    <w:rsid w:val="007E407F"/>
    <w:rsid w:val="007E40BB"/>
    <w:rsid w:val="007E5E02"/>
    <w:rsid w:val="007E65AB"/>
    <w:rsid w:val="007E7604"/>
    <w:rsid w:val="007E78FF"/>
    <w:rsid w:val="007E7EF2"/>
    <w:rsid w:val="007E7F03"/>
    <w:rsid w:val="007E7FB9"/>
    <w:rsid w:val="007F0884"/>
    <w:rsid w:val="007F14EC"/>
    <w:rsid w:val="007F18FB"/>
    <w:rsid w:val="007F1A2C"/>
    <w:rsid w:val="007F1B48"/>
    <w:rsid w:val="007F1B8F"/>
    <w:rsid w:val="007F417E"/>
    <w:rsid w:val="007F4658"/>
    <w:rsid w:val="007F5CD8"/>
    <w:rsid w:val="007F5EDF"/>
    <w:rsid w:val="007F6231"/>
    <w:rsid w:val="007F667D"/>
    <w:rsid w:val="007F6B3F"/>
    <w:rsid w:val="007F6DA4"/>
    <w:rsid w:val="007F79DF"/>
    <w:rsid w:val="008010C6"/>
    <w:rsid w:val="00801E34"/>
    <w:rsid w:val="00802DB5"/>
    <w:rsid w:val="0080445C"/>
    <w:rsid w:val="00805A2D"/>
    <w:rsid w:val="00807B5A"/>
    <w:rsid w:val="0081076C"/>
    <w:rsid w:val="0081300D"/>
    <w:rsid w:val="00813484"/>
    <w:rsid w:val="0081355D"/>
    <w:rsid w:val="008139A3"/>
    <w:rsid w:val="00813EB4"/>
    <w:rsid w:val="008152FD"/>
    <w:rsid w:val="008159A5"/>
    <w:rsid w:val="0082026C"/>
    <w:rsid w:val="0082073F"/>
    <w:rsid w:val="00820C8E"/>
    <w:rsid w:val="00825A69"/>
    <w:rsid w:val="0082669C"/>
    <w:rsid w:val="00830473"/>
    <w:rsid w:val="00831CB8"/>
    <w:rsid w:val="00834AC5"/>
    <w:rsid w:val="00837208"/>
    <w:rsid w:val="00837F29"/>
    <w:rsid w:val="008406D1"/>
    <w:rsid w:val="00841A82"/>
    <w:rsid w:val="0084344E"/>
    <w:rsid w:val="00844170"/>
    <w:rsid w:val="008443C8"/>
    <w:rsid w:val="00844849"/>
    <w:rsid w:val="00845A3A"/>
    <w:rsid w:val="00846168"/>
    <w:rsid w:val="00850053"/>
    <w:rsid w:val="008549EF"/>
    <w:rsid w:val="00854D9A"/>
    <w:rsid w:val="00854F66"/>
    <w:rsid w:val="008556EA"/>
    <w:rsid w:val="00855F33"/>
    <w:rsid w:val="00861A96"/>
    <w:rsid w:val="00861C38"/>
    <w:rsid w:val="00863819"/>
    <w:rsid w:val="008661AC"/>
    <w:rsid w:val="0086672A"/>
    <w:rsid w:val="00866F0B"/>
    <w:rsid w:val="0087018F"/>
    <w:rsid w:val="008702D1"/>
    <w:rsid w:val="008735AF"/>
    <w:rsid w:val="00873A89"/>
    <w:rsid w:val="0087437A"/>
    <w:rsid w:val="008756E1"/>
    <w:rsid w:val="0087594D"/>
    <w:rsid w:val="008803C5"/>
    <w:rsid w:val="00882D65"/>
    <w:rsid w:val="008848FD"/>
    <w:rsid w:val="00884980"/>
    <w:rsid w:val="00884DEE"/>
    <w:rsid w:val="00885363"/>
    <w:rsid w:val="00887CB0"/>
    <w:rsid w:val="00887F40"/>
    <w:rsid w:val="0089178A"/>
    <w:rsid w:val="00892B1F"/>
    <w:rsid w:val="00894909"/>
    <w:rsid w:val="00894AFF"/>
    <w:rsid w:val="008970D4"/>
    <w:rsid w:val="00897BD0"/>
    <w:rsid w:val="008A1E2F"/>
    <w:rsid w:val="008A215B"/>
    <w:rsid w:val="008A43B6"/>
    <w:rsid w:val="008A61D4"/>
    <w:rsid w:val="008A6548"/>
    <w:rsid w:val="008A688E"/>
    <w:rsid w:val="008A6992"/>
    <w:rsid w:val="008A6BD1"/>
    <w:rsid w:val="008A6D6B"/>
    <w:rsid w:val="008B0581"/>
    <w:rsid w:val="008B0998"/>
    <w:rsid w:val="008B196A"/>
    <w:rsid w:val="008B26E3"/>
    <w:rsid w:val="008B49FD"/>
    <w:rsid w:val="008B5971"/>
    <w:rsid w:val="008B61F0"/>
    <w:rsid w:val="008B661C"/>
    <w:rsid w:val="008B72BE"/>
    <w:rsid w:val="008B7880"/>
    <w:rsid w:val="008C1C06"/>
    <w:rsid w:val="008C24A5"/>
    <w:rsid w:val="008C32B3"/>
    <w:rsid w:val="008C3FD6"/>
    <w:rsid w:val="008C5195"/>
    <w:rsid w:val="008C6709"/>
    <w:rsid w:val="008C7AA6"/>
    <w:rsid w:val="008C7F68"/>
    <w:rsid w:val="008D0D79"/>
    <w:rsid w:val="008D0F03"/>
    <w:rsid w:val="008D3273"/>
    <w:rsid w:val="008D5470"/>
    <w:rsid w:val="008D7B78"/>
    <w:rsid w:val="008E399B"/>
    <w:rsid w:val="008E403C"/>
    <w:rsid w:val="008E66AB"/>
    <w:rsid w:val="008E72E0"/>
    <w:rsid w:val="008E7E8B"/>
    <w:rsid w:val="008F11D1"/>
    <w:rsid w:val="008F1FF0"/>
    <w:rsid w:val="008F3418"/>
    <w:rsid w:val="008F5474"/>
    <w:rsid w:val="008F6D9F"/>
    <w:rsid w:val="008F7AEF"/>
    <w:rsid w:val="008F7D09"/>
    <w:rsid w:val="00903DFA"/>
    <w:rsid w:val="009059C0"/>
    <w:rsid w:val="00905BBB"/>
    <w:rsid w:val="00911F0E"/>
    <w:rsid w:val="00912654"/>
    <w:rsid w:val="00912684"/>
    <w:rsid w:val="009134B9"/>
    <w:rsid w:val="009140D6"/>
    <w:rsid w:val="009159BB"/>
    <w:rsid w:val="0091606E"/>
    <w:rsid w:val="00916295"/>
    <w:rsid w:val="00916EC6"/>
    <w:rsid w:val="0092025E"/>
    <w:rsid w:val="009203C3"/>
    <w:rsid w:val="00920B2F"/>
    <w:rsid w:val="00920F4D"/>
    <w:rsid w:val="0092299B"/>
    <w:rsid w:val="0092312E"/>
    <w:rsid w:val="009234EC"/>
    <w:rsid w:val="00923E24"/>
    <w:rsid w:val="00930D8B"/>
    <w:rsid w:val="00931C85"/>
    <w:rsid w:val="009327D8"/>
    <w:rsid w:val="00933014"/>
    <w:rsid w:val="00935264"/>
    <w:rsid w:val="00935BAB"/>
    <w:rsid w:val="00937F21"/>
    <w:rsid w:val="009417AF"/>
    <w:rsid w:val="00942DE0"/>
    <w:rsid w:val="009435EB"/>
    <w:rsid w:val="00944D3D"/>
    <w:rsid w:val="00945632"/>
    <w:rsid w:val="00946647"/>
    <w:rsid w:val="009471A8"/>
    <w:rsid w:val="00951F25"/>
    <w:rsid w:val="00953DBC"/>
    <w:rsid w:val="00955787"/>
    <w:rsid w:val="00955D3F"/>
    <w:rsid w:val="00956AD7"/>
    <w:rsid w:val="009578CC"/>
    <w:rsid w:val="00960C96"/>
    <w:rsid w:val="0096453D"/>
    <w:rsid w:val="00966570"/>
    <w:rsid w:val="0096680F"/>
    <w:rsid w:val="00966D97"/>
    <w:rsid w:val="0097256A"/>
    <w:rsid w:val="00972690"/>
    <w:rsid w:val="00972E80"/>
    <w:rsid w:val="00973538"/>
    <w:rsid w:val="00973A9B"/>
    <w:rsid w:val="00974779"/>
    <w:rsid w:val="00975DAB"/>
    <w:rsid w:val="0097763A"/>
    <w:rsid w:val="00980FB5"/>
    <w:rsid w:val="009843F4"/>
    <w:rsid w:val="00987AB2"/>
    <w:rsid w:val="00987F50"/>
    <w:rsid w:val="0099161A"/>
    <w:rsid w:val="009916A8"/>
    <w:rsid w:val="009927C0"/>
    <w:rsid w:val="00992EDF"/>
    <w:rsid w:val="009932AF"/>
    <w:rsid w:val="0099356A"/>
    <w:rsid w:val="00993CB6"/>
    <w:rsid w:val="00995390"/>
    <w:rsid w:val="00995616"/>
    <w:rsid w:val="0099745B"/>
    <w:rsid w:val="009A0700"/>
    <w:rsid w:val="009A1E78"/>
    <w:rsid w:val="009A3757"/>
    <w:rsid w:val="009A7807"/>
    <w:rsid w:val="009B1249"/>
    <w:rsid w:val="009B3782"/>
    <w:rsid w:val="009B3FAC"/>
    <w:rsid w:val="009B74C9"/>
    <w:rsid w:val="009B7CC6"/>
    <w:rsid w:val="009C232E"/>
    <w:rsid w:val="009C2A0D"/>
    <w:rsid w:val="009C32A7"/>
    <w:rsid w:val="009C3F95"/>
    <w:rsid w:val="009C57B8"/>
    <w:rsid w:val="009C6B2B"/>
    <w:rsid w:val="009D00DF"/>
    <w:rsid w:val="009D10DE"/>
    <w:rsid w:val="009D1F47"/>
    <w:rsid w:val="009D46D9"/>
    <w:rsid w:val="009D5912"/>
    <w:rsid w:val="009D67AE"/>
    <w:rsid w:val="009D6B24"/>
    <w:rsid w:val="009E0A5C"/>
    <w:rsid w:val="009E2838"/>
    <w:rsid w:val="009E2AB2"/>
    <w:rsid w:val="009E3836"/>
    <w:rsid w:val="009E424B"/>
    <w:rsid w:val="009E4A1D"/>
    <w:rsid w:val="009E5D2C"/>
    <w:rsid w:val="009F1500"/>
    <w:rsid w:val="009F2BDB"/>
    <w:rsid w:val="009F4CB6"/>
    <w:rsid w:val="009F5952"/>
    <w:rsid w:val="009F59D1"/>
    <w:rsid w:val="009F5B8A"/>
    <w:rsid w:val="009F642B"/>
    <w:rsid w:val="009F71C6"/>
    <w:rsid w:val="00A00671"/>
    <w:rsid w:val="00A0151A"/>
    <w:rsid w:val="00A02BD3"/>
    <w:rsid w:val="00A03083"/>
    <w:rsid w:val="00A04A39"/>
    <w:rsid w:val="00A05BAF"/>
    <w:rsid w:val="00A05E77"/>
    <w:rsid w:val="00A063C4"/>
    <w:rsid w:val="00A077AD"/>
    <w:rsid w:val="00A10402"/>
    <w:rsid w:val="00A12951"/>
    <w:rsid w:val="00A13AE1"/>
    <w:rsid w:val="00A13BC3"/>
    <w:rsid w:val="00A15B35"/>
    <w:rsid w:val="00A178E8"/>
    <w:rsid w:val="00A21DCB"/>
    <w:rsid w:val="00A23826"/>
    <w:rsid w:val="00A32A66"/>
    <w:rsid w:val="00A335A8"/>
    <w:rsid w:val="00A36095"/>
    <w:rsid w:val="00A3733A"/>
    <w:rsid w:val="00A4099E"/>
    <w:rsid w:val="00A4482E"/>
    <w:rsid w:val="00A45313"/>
    <w:rsid w:val="00A46946"/>
    <w:rsid w:val="00A479FF"/>
    <w:rsid w:val="00A50779"/>
    <w:rsid w:val="00A50EEA"/>
    <w:rsid w:val="00A51501"/>
    <w:rsid w:val="00A51D94"/>
    <w:rsid w:val="00A52F48"/>
    <w:rsid w:val="00A53621"/>
    <w:rsid w:val="00A54B48"/>
    <w:rsid w:val="00A55EAF"/>
    <w:rsid w:val="00A572F5"/>
    <w:rsid w:val="00A645D1"/>
    <w:rsid w:val="00A6709D"/>
    <w:rsid w:val="00A67AAE"/>
    <w:rsid w:val="00A70138"/>
    <w:rsid w:val="00A70712"/>
    <w:rsid w:val="00A724F7"/>
    <w:rsid w:val="00A7351E"/>
    <w:rsid w:val="00A74E8A"/>
    <w:rsid w:val="00A7642D"/>
    <w:rsid w:val="00A76C4B"/>
    <w:rsid w:val="00A76E12"/>
    <w:rsid w:val="00A771C1"/>
    <w:rsid w:val="00A818FE"/>
    <w:rsid w:val="00A83719"/>
    <w:rsid w:val="00A83786"/>
    <w:rsid w:val="00A85B15"/>
    <w:rsid w:val="00A86DA8"/>
    <w:rsid w:val="00A90960"/>
    <w:rsid w:val="00A90DA2"/>
    <w:rsid w:val="00A91893"/>
    <w:rsid w:val="00A9243F"/>
    <w:rsid w:val="00A952A5"/>
    <w:rsid w:val="00A95DC0"/>
    <w:rsid w:val="00A96C97"/>
    <w:rsid w:val="00A971FB"/>
    <w:rsid w:val="00A979F4"/>
    <w:rsid w:val="00A97B2A"/>
    <w:rsid w:val="00AA732C"/>
    <w:rsid w:val="00AA73D0"/>
    <w:rsid w:val="00AA7611"/>
    <w:rsid w:val="00AB27AF"/>
    <w:rsid w:val="00AB2C2B"/>
    <w:rsid w:val="00AB43F0"/>
    <w:rsid w:val="00AB4D6D"/>
    <w:rsid w:val="00AB5FF0"/>
    <w:rsid w:val="00AB64DB"/>
    <w:rsid w:val="00AB7326"/>
    <w:rsid w:val="00AB78B1"/>
    <w:rsid w:val="00AC0A4D"/>
    <w:rsid w:val="00AC1402"/>
    <w:rsid w:val="00AC17C9"/>
    <w:rsid w:val="00AC2A30"/>
    <w:rsid w:val="00AC2B68"/>
    <w:rsid w:val="00AC3B13"/>
    <w:rsid w:val="00AC4AA1"/>
    <w:rsid w:val="00AC759E"/>
    <w:rsid w:val="00AD1611"/>
    <w:rsid w:val="00AD1A50"/>
    <w:rsid w:val="00AD3FFD"/>
    <w:rsid w:val="00AD435C"/>
    <w:rsid w:val="00AD442F"/>
    <w:rsid w:val="00AD5866"/>
    <w:rsid w:val="00AD6653"/>
    <w:rsid w:val="00AD7BEE"/>
    <w:rsid w:val="00AD7C65"/>
    <w:rsid w:val="00AE30F1"/>
    <w:rsid w:val="00AE32B2"/>
    <w:rsid w:val="00AE3B5A"/>
    <w:rsid w:val="00AE576F"/>
    <w:rsid w:val="00AE6250"/>
    <w:rsid w:val="00AF2701"/>
    <w:rsid w:val="00AF2FD9"/>
    <w:rsid w:val="00AF35F6"/>
    <w:rsid w:val="00AF5268"/>
    <w:rsid w:val="00AF5968"/>
    <w:rsid w:val="00AF6C30"/>
    <w:rsid w:val="00B00256"/>
    <w:rsid w:val="00B002F3"/>
    <w:rsid w:val="00B006C6"/>
    <w:rsid w:val="00B00A62"/>
    <w:rsid w:val="00B045D3"/>
    <w:rsid w:val="00B051E4"/>
    <w:rsid w:val="00B130FD"/>
    <w:rsid w:val="00B146FD"/>
    <w:rsid w:val="00B15327"/>
    <w:rsid w:val="00B2021A"/>
    <w:rsid w:val="00B21B06"/>
    <w:rsid w:val="00B22A9F"/>
    <w:rsid w:val="00B274AA"/>
    <w:rsid w:val="00B2756D"/>
    <w:rsid w:val="00B30076"/>
    <w:rsid w:val="00B328F9"/>
    <w:rsid w:val="00B33174"/>
    <w:rsid w:val="00B33228"/>
    <w:rsid w:val="00B3416B"/>
    <w:rsid w:val="00B34BD1"/>
    <w:rsid w:val="00B3640F"/>
    <w:rsid w:val="00B37BC6"/>
    <w:rsid w:val="00B4186E"/>
    <w:rsid w:val="00B51798"/>
    <w:rsid w:val="00B51D5D"/>
    <w:rsid w:val="00B52819"/>
    <w:rsid w:val="00B53C4C"/>
    <w:rsid w:val="00B53F72"/>
    <w:rsid w:val="00B542CA"/>
    <w:rsid w:val="00B544FD"/>
    <w:rsid w:val="00B55060"/>
    <w:rsid w:val="00B55A66"/>
    <w:rsid w:val="00B56D4F"/>
    <w:rsid w:val="00B56FEF"/>
    <w:rsid w:val="00B60083"/>
    <w:rsid w:val="00B60385"/>
    <w:rsid w:val="00B615BB"/>
    <w:rsid w:val="00B62137"/>
    <w:rsid w:val="00B627EC"/>
    <w:rsid w:val="00B62DCE"/>
    <w:rsid w:val="00B638FF"/>
    <w:rsid w:val="00B64962"/>
    <w:rsid w:val="00B654F7"/>
    <w:rsid w:val="00B66944"/>
    <w:rsid w:val="00B72300"/>
    <w:rsid w:val="00B72BE4"/>
    <w:rsid w:val="00B72C0E"/>
    <w:rsid w:val="00B7394F"/>
    <w:rsid w:val="00B76D1D"/>
    <w:rsid w:val="00B809BA"/>
    <w:rsid w:val="00B83045"/>
    <w:rsid w:val="00B842B0"/>
    <w:rsid w:val="00B846FD"/>
    <w:rsid w:val="00B858BD"/>
    <w:rsid w:val="00B87C06"/>
    <w:rsid w:val="00B92282"/>
    <w:rsid w:val="00B923DB"/>
    <w:rsid w:val="00B95A8B"/>
    <w:rsid w:val="00B97057"/>
    <w:rsid w:val="00BA108E"/>
    <w:rsid w:val="00BA2583"/>
    <w:rsid w:val="00BA5AF4"/>
    <w:rsid w:val="00BA7201"/>
    <w:rsid w:val="00BA76BB"/>
    <w:rsid w:val="00BB038C"/>
    <w:rsid w:val="00BB0CAC"/>
    <w:rsid w:val="00BB230F"/>
    <w:rsid w:val="00BB2A70"/>
    <w:rsid w:val="00BB2CB8"/>
    <w:rsid w:val="00BB3168"/>
    <w:rsid w:val="00BB49E3"/>
    <w:rsid w:val="00BB4D82"/>
    <w:rsid w:val="00BB57F3"/>
    <w:rsid w:val="00BB649B"/>
    <w:rsid w:val="00BB7072"/>
    <w:rsid w:val="00BB7A24"/>
    <w:rsid w:val="00BC053E"/>
    <w:rsid w:val="00BC059B"/>
    <w:rsid w:val="00BC2B0A"/>
    <w:rsid w:val="00BC333A"/>
    <w:rsid w:val="00BC3A49"/>
    <w:rsid w:val="00BC3ED6"/>
    <w:rsid w:val="00BC484E"/>
    <w:rsid w:val="00BC550C"/>
    <w:rsid w:val="00BC5CD1"/>
    <w:rsid w:val="00BD15FB"/>
    <w:rsid w:val="00BD307F"/>
    <w:rsid w:val="00BD33B3"/>
    <w:rsid w:val="00BD4DA9"/>
    <w:rsid w:val="00BD68CB"/>
    <w:rsid w:val="00BD6A69"/>
    <w:rsid w:val="00BD6B40"/>
    <w:rsid w:val="00BD72F2"/>
    <w:rsid w:val="00BE2A37"/>
    <w:rsid w:val="00BE38E0"/>
    <w:rsid w:val="00BE6479"/>
    <w:rsid w:val="00BE6C83"/>
    <w:rsid w:val="00BE7A94"/>
    <w:rsid w:val="00BF03AF"/>
    <w:rsid w:val="00BF05BE"/>
    <w:rsid w:val="00BF2872"/>
    <w:rsid w:val="00BF54ED"/>
    <w:rsid w:val="00BF5F69"/>
    <w:rsid w:val="00BF6193"/>
    <w:rsid w:val="00BF6E6E"/>
    <w:rsid w:val="00BF7D51"/>
    <w:rsid w:val="00C0006B"/>
    <w:rsid w:val="00C009A1"/>
    <w:rsid w:val="00C0207D"/>
    <w:rsid w:val="00C025C9"/>
    <w:rsid w:val="00C02F4B"/>
    <w:rsid w:val="00C03E6F"/>
    <w:rsid w:val="00C05423"/>
    <w:rsid w:val="00C06366"/>
    <w:rsid w:val="00C068B5"/>
    <w:rsid w:val="00C10DA5"/>
    <w:rsid w:val="00C11115"/>
    <w:rsid w:val="00C112CE"/>
    <w:rsid w:val="00C13037"/>
    <w:rsid w:val="00C1379B"/>
    <w:rsid w:val="00C13E2B"/>
    <w:rsid w:val="00C167B2"/>
    <w:rsid w:val="00C17778"/>
    <w:rsid w:val="00C204FD"/>
    <w:rsid w:val="00C21AAE"/>
    <w:rsid w:val="00C22F2B"/>
    <w:rsid w:val="00C237BC"/>
    <w:rsid w:val="00C26DAC"/>
    <w:rsid w:val="00C26FBC"/>
    <w:rsid w:val="00C27C6C"/>
    <w:rsid w:val="00C30761"/>
    <w:rsid w:val="00C32648"/>
    <w:rsid w:val="00C32EF2"/>
    <w:rsid w:val="00C3347D"/>
    <w:rsid w:val="00C33960"/>
    <w:rsid w:val="00C34183"/>
    <w:rsid w:val="00C3515E"/>
    <w:rsid w:val="00C3536D"/>
    <w:rsid w:val="00C35A19"/>
    <w:rsid w:val="00C3628D"/>
    <w:rsid w:val="00C43852"/>
    <w:rsid w:val="00C439D9"/>
    <w:rsid w:val="00C443D0"/>
    <w:rsid w:val="00C46F2A"/>
    <w:rsid w:val="00C51955"/>
    <w:rsid w:val="00C524E2"/>
    <w:rsid w:val="00C528C7"/>
    <w:rsid w:val="00C55446"/>
    <w:rsid w:val="00C55639"/>
    <w:rsid w:val="00C568B3"/>
    <w:rsid w:val="00C572CD"/>
    <w:rsid w:val="00C607FD"/>
    <w:rsid w:val="00C6184C"/>
    <w:rsid w:val="00C62719"/>
    <w:rsid w:val="00C62AA7"/>
    <w:rsid w:val="00C659B8"/>
    <w:rsid w:val="00C6719F"/>
    <w:rsid w:val="00C67C98"/>
    <w:rsid w:val="00C725C6"/>
    <w:rsid w:val="00C74E5A"/>
    <w:rsid w:val="00C768B6"/>
    <w:rsid w:val="00C775F3"/>
    <w:rsid w:val="00C81206"/>
    <w:rsid w:val="00C81697"/>
    <w:rsid w:val="00C86A6F"/>
    <w:rsid w:val="00C9026F"/>
    <w:rsid w:val="00C91095"/>
    <w:rsid w:val="00C91C74"/>
    <w:rsid w:val="00C91F60"/>
    <w:rsid w:val="00C926F5"/>
    <w:rsid w:val="00C9544A"/>
    <w:rsid w:val="00C95C85"/>
    <w:rsid w:val="00C97A32"/>
    <w:rsid w:val="00C97AC3"/>
    <w:rsid w:val="00CA004F"/>
    <w:rsid w:val="00CA032F"/>
    <w:rsid w:val="00CA09D0"/>
    <w:rsid w:val="00CA0E0D"/>
    <w:rsid w:val="00CA4C7B"/>
    <w:rsid w:val="00CA6244"/>
    <w:rsid w:val="00CB0359"/>
    <w:rsid w:val="00CB0E92"/>
    <w:rsid w:val="00CB2C97"/>
    <w:rsid w:val="00CB434E"/>
    <w:rsid w:val="00CB4FDF"/>
    <w:rsid w:val="00CC1DE1"/>
    <w:rsid w:val="00CC4A81"/>
    <w:rsid w:val="00CC7FFE"/>
    <w:rsid w:val="00CD05D7"/>
    <w:rsid w:val="00CD4F24"/>
    <w:rsid w:val="00CD53FE"/>
    <w:rsid w:val="00CE1AC2"/>
    <w:rsid w:val="00CE25DA"/>
    <w:rsid w:val="00CE2907"/>
    <w:rsid w:val="00CE40A8"/>
    <w:rsid w:val="00CE4E3A"/>
    <w:rsid w:val="00CF01D8"/>
    <w:rsid w:val="00CF12E4"/>
    <w:rsid w:val="00CF186A"/>
    <w:rsid w:val="00CF1B4B"/>
    <w:rsid w:val="00CF2795"/>
    <w:rsid w:val="00CF3B49"/>
    <w:rsid w:val="00CF4A46"/>
    <w:rsid w:val="00CF517C"/>
    <w:rsid w:val="00CF5565"/>
    <w:rsid w:val="00CF711E"/>
    <w:rsid w:val="00D04082"/>
    <w:rsid w:val="00D04B47"/>
    <w:rsid w:val="00D04BC0"/>
    <w:rsid w:val="00D05BD2"/>
    <w:rsid w:val="00D076A0"/>
    <w:rsid w:val="00D12FB3"/>
    <w:rsid w:val="00D139DB"/>
    <w:rsid w:val="00D1407F"/>
    <w:rsid w:val="00D144A3"/>
    <w:rsid w:val="00D14579"/>
    <w:rsid w:val="00D14918"/>
    <w:rsid w:val="00D17D8D"/>
    <w:rsid w:val="00D209A0"/>
    <w:rsid w:val="00D20ECB"/>
    <w:rsid w:val="00D21410"/>
    <w:rsid w:val="00D22009"/>
    <w:rsid w:val="00D23A05"/>
    <w:rsid w:val="00D241E8"/>
    <w:rsid w:val="00D2477A"/>
    <w:rsid w:val="00D265CD"/>
    <w:rsid w:val="00D3328C"/>
    <w:rsid w:val="00D334DC"/>
    <w:rsid w:val="00D33CF4"/>
    <w:rsid w:val="00D33E28"/>
    <w:rsid w:val="00D34120"/>
    <w:rsid w:val="00D34C50"/>
    <w:rsid w:val="00D42A6D"/>
    <w:rsid w:val="00D42E16"/>
    <w:rsid w:val="00D43663"/>
    <w:rsid w:val="00D43DD8"/>
    <w:rsid w:val="00D43F58"/>
    <w:rsid w:val="00D44A1C"/>
    <w:rsid w:val="00D45AC9"/>
    <w:rsid w:val="00D46013"/>
    <w:rsid w:val="00D52B17"/>
    <w:rsid w:val="00D53269"/>
    <w:rsid w:val="00D54828"/>
    <w:rsid w:val="00D54F04"/>
    <w:rsid w:val="00D55848"/>
    <w:rsid w:val="00D577B6"/>
    <w:rsid w:val="00D57B09"/>
    <w:rsid w:val="00D60F80"/>
    <w:rsid w:val="00D62581"/>
    <w:rsid w:val="00D63E53"/>
    <w:rsid w:val="00D657AE"/>
    <w:rsid w:val="00D66778"/>
    <w:rsid w:val="00D671F6"/>
    <w:rsid w:val="00D703B8"/>
    <w:rsid w:val="00D7112C"/>
    <w:rsid w:val="00D711D2"/>
    <w:rsid w:val="00D71BCF"/>
    <w:rsid w:val="00D7299D"/>
    <w:rsid w:val="00D74FF9"/>
    <w:rsid w:val="00D759B5"/>
    <w:rsid w:val="00D75D61"/>
    <w:rsid w:val="00D7641D"/>
    <w:rsid w:val="00D767D5"/>
    <w:rsid w:val="00D77050"/>
    <w:rsid w:val="00D818D4"/>
    <w:rsid w:val="00D81903"/>
    <w:rsid w:val="00D82BEF"/>
    <w:rsid w:val="00D838A0"/>
    <w:rsid w:val="00D85F26"/>
    <w:rsid w:val="00D86AF5"/>
    <w:rsid w:val="00D86D4A"/>
    <w:rsid w:val="00D91C95"/>
    <w:rsid w:val="00D934FD"/>
    <w:rsid w:val="00D93974"/>
    <w:rsid w:val="00D95CCE"/>
    <w:rsid w:val="00D95F24"/>
    <w:rsid w:val="00D96E16"/>
    <w:rsid w:val="00DA0102"/>
    <w:rsid w:val="00DA07DD"/>
    <w:rsid w:val="00DA0B42"/>
    <w:rsid w:val="00DA0ECA"/>
    <w:rsid w:val="00DA2139"/>
    <w:rsid w:val="00DB05C7"/>
    <w:rsid w:val="00DB0995"/>
    <w:rsid w:val="00DB34FE"/>
    <w:rsid w:val="00DB4180"/>
    <w:rsid w:val="00DB437F"/>
    <w:rsid w:val="00DB7CCD"/>
    <w:rsid w:val="00DC1EB9"/>
    <w:rsid w:val="00DC2DD9"/>
    <w:rsid w:val="00DC5768"/>
    <w:rsid w:val="00DC713B"/>
    <w:rsid w:val="00DC7C89"/>
    <w:rsid w:val="00DD0010"/>
    <w:rsid w:val="00DD101B"/>
    <w:rsid w:val="00DD374A"/>
    <w:rsid w:val="00DD3AC6"/>
    <w:rsid w:val="00DD74F6"/>
    <w:rsid w:val="00DD766C"/>
    <w:rsid w:val="00DE180D"/>
    <w:rsid w:val="00DE184C"/>
    <w:rsid w:val="00DE2CFC"/>
    <w:rsid w:val="00DE55E3"/>
    <w:rsid w:val="00DE56F4"/>
    <w:rsid w:val="00DE5B2C"/>
    <w:rsid w:val="00DE6926"/>
    <w:rsid w:val="00DE6941"/>
    <w:rsid w:val="00DF0910"/>
    <w:rsid w:val="00DF15F0"/>
    <w:rsid w:val="00DF226A"/>
    <w:rsid w:val="00DF387A"/>
    <w:rsid w:val="00DF6794"/>
    <w:rsid w:val="00DF7845"/>
    <w:rsid w:val="00E001E0"/>
    <w:rsid w:val="00E0148E"/>
    <w:rsid w:val="00E01EA8"/>
    <w:rsid w:val="00E02577"/>
    <w:rsid w:val="00E02708"/>
    <w:rsid w:val="00E02DFC"/>
    <w:rsid w:val="00E06657"/>
    <w:rsid w:val="00E0711A"/>
    <w:rsid w:val="00E1001C"/>
    <w:rsid w:val="00E11459"/>
    <w:rsid w:val="00E12974"/>
    <w:rsid w:val="00E13300"/>
    <w:rsid w:val="00E13538"/>
    <w:rsid w:val="00E14420"/>
    <w:rsid w:val="00E170CA"/>
    <w:rsid w:val="00E20ACC"/>
    <w:rsid w:val="00E225C9"/>
    <w:rsid w:val="00E22926"/>
    <w:rsid w:val="00E22FC8"/>
    <w:rsid w:val="00E2340E"/>
    <w:rsid w:val="00E2439C"/>
    <w:rsid w:val="00E2686B"/>
    <w:rsid w:val="00E2736B"/>
    <w:rsid w:val="00E279E1"/>
    <w:rsid w:val="00E30149"/>
    <w:rsid w:val="00E30846"/>
    <w:rsid w:val="00E30CD1"/>
    <w:rsid w:val="00E31FA3"/>
    <w:rsid w:val="00E321F1"/>
    <w:rsid w:val="00E35C6A"/>
    <w:rsid w:val="00E423EE"/>
    <w:rsid w:val="00E4404F"/>
    <w:rsid w:val="00E44142"/>
    <w:rsid w:val="00E44511"/>
    <w:rsid w:val="00E453A0"/>
    <w:rsid w:val="00E455EE"/>
    <w:rsid w:val="00E50660"/>
    <w:rsid w:val="00E50F6D"/>
    <w:rsid w:val="00E517CA"/>
    <w:rsid w:val="00E53279"/>
    <w:rsid w:val="00E5345E"/>
    <w:rsid w:val="00E545DD"/>
    <w:rsid w:val="00E54FFD"/>
    <w:rsid w:val="00E5554A"/>
    <w:rsid w:val="00E5582C"/>
    <w:rsid w:val="00E5590B"/>
    <w:rsid w:val="00E55EDF"/>
    <w:rsid w:val="00E603B1"/>
    <w:rsid w:val="00E60ABF"/>
    <w:rsid w:val="00E60E73"/>
    <w:rsid w:val="00E6197F"/>
    <w:rsid w:val="00E632B2"/>
    <w:rsid w:val="00E64149"/>
    <w:rsid w:val="00E646C3"/>
    <w:rsid w:val="00E64F3A"/>
    <w:rsid w:val="00E654A3"/>
    <w:rsid w:val="00E66802"/>
    <w:rsid w:val="00E66CC0"/>
    <w:rsid w:val="00E672F6"/>
    <w:rsid w:val="00E70AB1"/>
    <w:rsid w:val="00E72838"/>
    <w:rsid w:val="00E73B3E"/>
    <w:rsid w:val="00E7483D"/>
    <w:rsid w:val="00E7499E"/>
    <w:rsid w:val="00E753BA"/>
    <w:rsid w:val="00E76B00"/>
    <w:rsid w:val="00E77A13"/>
    <w:rsid w:val="00E77AC9"/>
    <w:rsid w:val="00E81A5C"/>
    <w:rsid w:val="00E834C2"/>
    <w:rsid w:val="00E8354D"/>
    <w:rsid w:val="00E84225"/>
    <w:rsid w:val="00E8788D"/>
    <w:rsid w:val="00E938BD"/>
    <w:rsid w:val="00E94E02"/>
    <w:rsid w:val="00E954E5"/>
    <w:rsid w:val="00E96633"/>
    <w:rsid w:val="00E96939"/>
    <w:rsid w:val="00EA1444"/>
    <w:rsid w:val="00EA156A"/>
    <w:rsid w:val="00EA2190"/>
    <w:rsid w:val="00EA43BC"/>
    <w:rsid w:val="00EA44BF"/>
    <w:rsid w:val="00EA45CD"/>
    <w:rsid w:val="00EA5408"/>
    <w:rsid w:val="00EA7062"/>
    <w:rsid w:val="00EA7E51"/>
    <w:rsid w:val="00EB12FB"/>
    <w:rsid w:val="00EB14F5"/>
    <w:rsid w:val="00EB372C"/>
    <w:rsid w:val="00EB4380"/>
    <w:rsid w:val="00EB4A21"/>
    <w:rsid w:val="00EB50A9"/>
    <w:rsid w:val="00EB6718"/>
    <w:rsid w:val="00EB76FF"/>
    <w:rsid w:val="00EC12EE"/>
    <w:rsid w:val="00EC2117"/>
    <w:rsid w:val="00EC2EA9"/>
    <w:rsid w:val="00EC3E8A"/>
    <w:rsid w:val="00EC42B7"/>
    <w:rsid w:val="00EC6864"/>
    <w:rsid w:val="00EC69CE"/>
    <w:rsid w:val="00EC73D8"/>
    <w:rsid w:val="00ED031E"/>
    <w:rsid w:val="00ED0B98"/>
    <w:rsid w:val="00ED11BC"/>
    <w:rsid w:val="00ED1ED7"/>
    <w:rsid w:val="00ED4FF4"/>
    <w:rsid w:val="00ED5377"/>
    <w:rsid w:val="00ED5412"/>
    <w:rsid w:val="00ED6348"/>
    <w:rsid w:val="00ED68D1"/>
    <w:rsid w:val="00ED68E2"/>
    <w:rsid w:val="00EE0D53"/>
    <w:rsid w:val="00EE10F5"/>
    <w:rsid w:val="00EE1619"/>
    <w:rsid w:val="00EE1700"/>
    <w:rsid w:val="00EE2B32"/>
    <w:rsid w:val="00EE57F1"/>
    <w:rsid w:val="00EF03C3"/>
    <w:rsid w:val="00EF1232"/>
    <w:rsid w:val="00EF1B1E"/>
    <w:rsid w:val="00EF482F"/>
    <w:rsid w:val="00EF5962"/>
    <w:rsid w:val="00EF6CD6"/>
    <w:rsid w:val="00F00534"/>
    <w:rsid w:val="00F010D2"/>
    <w:rsid w:val="00F038FA"/>
    <w:rsid w:val="00F05A51"/>
    <w:rsid w:val="00F05B76"/>
    <w:rsid w:val="00F06E0D"/>
    <w:rsid w:val="00F11CEA"/>
    <w:rsid w:val="00F12885"/>
    <w:rsid w:val="00F12907"/>
    <w:rsid w:val="00F1339C"/>
    <w:rsid w:val="00F13E9D"/>
    <w:rsid w:val="00F16FAA"/>
    <w:rsid w:val="00F252C5"/>
    <w:rsid w:val="00F25728"/>
    <w:rsid w:val="00F27DE6"/>
    <w:rsid w:val="00F332E8"/>
    <w:rsid w:val="00F366D6"/>
    <w:rsid w:val="00F37006"/>
    <w:rsid w:val="00F37FEE"/>
    <w:rsid w:val="00F40185"/>
    <w:rsid w:val="00F42650"/>
    <w:rsid w:val="00F4283C"/>
    <w:rsid w:val="00F44025"/>
    <w:rsid w:val="00F47686"/>
    <w:rsid w:val="00F50483"/>
    <w:rsid w:val="00F5069D"/>
    <w:rsid w:val="00F515E9"/>
    <w:rsid w:val="00F5395C"/>
    <w:rsid w:val="00F5479E"/>
    <w:rsid w:val="00F55CDC"/>
    <w:rsid w:val="00F5749C"/>
    <w:rsid w:val="00F62383"/>
    <w:rsid w:val="00F64794"/>
    <w:rsid w:val="00F6515A"/>
    <w:rsid w:val="00F65739"/>
    <w:rsid w:val="00F66707"/>
    <w:rsid w:val="00F674F6"/>
    <w:rsid w:val="00F703B9"/>
    <w:rsid w:val="00F74B80"/>
    <w:rsid w:val="00F7514B"/>
    <w:rsid w:val="00F75BFD"/>
    <w:rsid w:val="00F76B83"/>
    <w:rsid w:val="00F7718E"/>
    <w:rsid w:val="00F77655"/>
    <w:rsid w:val="00F82085"/>
    <w:rsid w:val="00F8265A"/>
    <w:rsid w:val="00F83CD4"/>
    <w:rsid w:val="00F84316"/>
    <w:rsid w:val="00F85C85"/>
    <w:rsid w:val="00F90E91"/>
    <w:rsid w:val="00F92440"/>
    <w:rsid w:val="00F94125"/>
    <w:rsid w:val="00F94F10"/>
    <w:rsid w:val="00F97475"/>
    <w:rsid w:val="00FA0BEB"/>
    <w:rsid w:val="00FA0C4D"/>
    <w:rsid w:val="00FA3BF0"/>
    <w:rsid w:val="00FA3DAE"/>
    <w:rsid w:val="00FA5541"/>
    <w:rsid w:val="00FA7888"/>
    <w:rsid w:val="00FB0E98"/>
    <w:rsid w:val="00FB1BAA"/>
    <w:rsid w:val="00FB2212"/>
    <w:rsid w:val="00FB5DD3"/>
    <w:rsid w:val="00FB670C"/>
    <w:rsid w:val="00FB73B6"/>
    <w:rsid w:val="00FB7B16"/>
    <w:rsid w:val="00FC2242"/>
    <w:rsid w:val="00FC429C"/>
    <w:rsid w:val="00FD0078"/>
    <w:rsid w:val="00FD246A"/>
    <w:rsid w:val="00FD28F5"/>
    <w:rsid w:val="00FD3AF5"/>
    <w:rsid w:val="00FD44CC"/>
    <w:rsid w:val="00FD5447"/>
    <w:rsid w:val="00FD5CE9"/>
    <w:rsid w:val="00FD67FF"/>
    <w:rsid w:val="00FE08C1"/>
    <w:rsid w:val="00FE1AFD"/>
    <w:rsid w:val="00FE37E9"/>
    <w:rsid w:val="00FE5E3A"/>
    <w:rsid w:val="00FE649B"/>
    <w:rsid w:val="00FF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C6AF"/>
  <w15:chartTrackingRefBased/>
  <w15:docId w15:val="{4CA67C81-2C37-4AD4-BF6E-1A98B30D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28B6"/>
    <w:pPr>
      <w:ind w:left="720"/>
      <w:contextualSpacing/>
    </w:pPr>
  </w:style>
  <w:style w:type="table" w:styleId="TableGrid">
    <w:name w:val="Table Grid"/>
    <w:basedOn w:val="TableNormal"/>
    <w:uiPriority w:val="39"/>
    <w:rsid w:val="003A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6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001"/>
    <w:rPr>
      <w:sz w:val="20"/>
      <w:szCs w:val="20"/>
    </w:rPr>
  </w:style>
  <w:style w:type="character" w:styleId="FootnoteReference">
    <w:name w:val="footnote reference"/>
    <w:basedOn w:val="DefaultParagraphFont"/>
    <w:uiPriority w:val="99"/>
    <w:semiHidden/>
    <w:unhideWhenUsed/>
    <w:rsid w:val="00286001"/>
    <w:rPr>
      <w:vertAlign w:val="superscript"/>
    </w:rPr>
  </w:style>
  <w:style w:type="character" w:styleId="Hyperlink">
    <w:name w:val="Hyperlink"/>
    <w:basedOn w:val="DefaultParagraphFont"/>
    <w:uiPriority w:val="99"/>
    <w:unhideWhenUsed/>
    <w:rsid w:val="00286001"/>
    <w:rPr>
      <w:color w:val="0563C1" w:themeColor="hyperlink"/>
      <w:u w:val="single"/>
    </w:rPr>
  </w:style>
  <w:style w:type="character" w:styleId="UnresolvedMention">
    <w:name w:val="Unresolved Mention"/>
    <w:basedOn w:val="DefaultParagraphFont"/>
    <w:uiPriority w:val="99"/>
    <w:semiHidden/>
    <w:unhideWhenUsed/>
    <w:rsid w:val="00286001"/>
    <w:rPr>
      <w:color w:val="605E5C"/>
      <w:shd w:val="clear" w:color="auto" w:fill="E1DFDD"/>
    </w:rPr>
  </w:style>
  <w:style w:type="paragraph" w:styleId="Header">
    <w:name w:val="header"/>
    <w:basedOn w:val="Normal"/>
    <w:link w:val="HeaderChar"/>
    <w:uiPriority w:val="99"/>
    <w:unhideWhenUsed/>
    <w:rsid w:val="0006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E63"/>
  </w:style>
  <w:style w:type="character" w:styleId="PageNumber">
    <w:name w:val="page number"/>
    <w:basedOn w:val="DefaultParagraphFont"/>
    <w:uiPriority w:val="99"/>
    <w:semiHidden/>
    <w:unhideWhenUsed/>
    <w:rsid w:val="00063E63"/>
  </w:style>
  <w:style w:type="paragraph" w:styleId="NormalWeb">
    <w:name w:val="Normal (Web)"/>
    <w:basedOn w:val="Normal"/>
    <w:uiPriority w:val="99"/>
    <w:unhideWhenUsed/>
    <w:rsid w:val="00E76B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D3273"/>
    <w:rPr>
      <w:color w:val="954F72" w:themeColor="followedHyperlink"/>
      <w:u w:val="single"/>
    </w:rPr>
  </w:style>
  <w:style w:type="paragraph" w:styleId="ListBullet">
    <w:name w:val="List Bullet"/>
    <w:basedOn w:val="Normal"/>
    <w:uiPriority w:val="99"/>
    <w:unhideWhenUsed/>
    <w:rsid w:val="001B1DE5"/>
    <w:pPr>
      <w:numPr>
        <w:numId w:val="11"/>
      </w:numPr>
      <w:contextualSpacing/>
    </w:pPr>
  </w:style>
  <w:style w:type="character" w:styleId="CommentReference">
    <w:name w:val="annotation reference"/>
    <w:basedOn w:val="DefaultParagraphFont"/>
    <w:uiPriority w:val="99"/>
    <w:semiHidden/>
    <w:unhideWhenUsed/>
    <w:rsid w:val="00CD05D7"/>
    <w:rPr>
      <w:sz w:val="16"/>
      <w:szCs w:val="16"/>
    </w:rPr>
  </w:style>
  <w:style w:type="paragraph" w:styleId="CommentText">
    <w:name w:val="annotation text"/>
    <w:basedOn w:val="Normal"/>
    <w:link w:val="CommentTextChar"/>
    <w:uiPriority w:val="99"/>
    <w:semiHidden/>
    <w:unhideWhenUsed/>
    <w:rsid w:val="00CD05D7"/>
    <w:pPr>
      <w:spacing w:line="240" w:lineRule="auto"/>
    </w:pPr>
    <w:rPr>
      <w:sz w:val="20"/>
      <w:szCs w:val="20"/>
    </w:rPr>
  </w:style>
  <w:style w:type="character" w:customStyle="1" w:styleId="CommentTextChar">
    <w:name w:val="Comment Text Char"/>
    <w:basedOn w:val="DefaultParagraphFont"/>
    <w:link w:val="CommentText"/>
    <w:uiPriority w:val="99"/>
    <w:semiHidden/>
    <w:rsid w:val="00CD05D7"/>
    <w:rPr>
      <w:sz w:val="20"/>
      <w:szCs w:val="20"/>
    </w:rPr>
  </w:style>
  <w:style w:type="paragraph" w:styleId="CommentSubject">
    <w:name w:val="annotation subject"/>
    <w:basedOn w:val="CommentText"/>
    <w:next w:val="CommentText"/>
    <w:link w:val="CommentSubjectChar"/>
    <w:uiPriority w:val="99"/>
    <w:semiHidden/>
    <w:unhideWhenUsed/>
    <w:rsid w:val="00CD05D7"/>
    <w:rPr>
      <w:b/>
      <w:bCs/>
    </w:rPr>
  </w:style>
  <w:style w:type="character" w:customStyle="1" w:styleId="CommentSubjectChar">
    <w:name w:val="Comment Subject Char"/>
    <w:basedOn w:val="CommentTextChar"/>
    <w:link w:val="CommentSubject"/>
    <w:uiPriority w:val="99"/>
    <w:semiHidden/>
    <w:rsid w:val="00CD05D7"/>
    <w:rPr>
      <w:b/>
      <w:bCs/>
      <w:sz w:val="20"/>
      <w:szCs w:val="20"/>
    </w:rPr>
  </w:style>
  <w:style w:type="paragraph" w:styleId="BalloonText">
    <w:name w:val="Balloon Text"/>
    <w:basedOn w:val="Normal"/>
    <w:link w:val="BalloonTextChar"/>
    <w:uiPriority w:val="99"/>
    <w:semiHidden/>
    <w:unhideWhenUsed/>
    <w:rsid w:val="00CD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7"/>
    <w:rPr>
      <w:rFonts w:ascii="Segoe UI" w:hAnsi="Segoe UI" w:cs="Segoe UI"/>
      <w:sz w:val="18"/>
      <w:szCs w:val="18"/>
    </w:rPr>
  </w:style>
  <w:style w:type="character" w:customStyle="1" w:styleId="ListParagraphChar">
    <w:name w:val="List Paragraph Char"/>
    <w:basedOn w:val="DefaultParagraphFont"/>
    <w:link w:val="ListParagraph"/>
    <w:uiPriority w:val="34"/>
    <w:rsid w:val="009E2AB2"/>
  </w:style>
  <w:style w:type="paragraph" w:styleId="Footer">
    <w:name w:val="footer"/>
    <w:basedOn w:val="Normal"/>
    <w:link w:val="FooterChar"/>
    <w:uiPriority w:val="99"/>
    <w:unhideWhenUsed/>
    <w:rsid w:val="00C46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73808">
      <w:bodyDiv w:val="1"/>
      <w:marLeft w:val="0"/>
      <w:marRight w:val="0"/>
      <w:marTop w:val="0"/>
      <w:marBottom w:val="0"/>
      <w:divBdr>
        <w:top w:val="none" w:sz="0" w:space="0" w:color="auto"/>
        <w:left w:val="none" w:sz="0" w:space="0" w:color="auto"/>
        <w:bottom w:val="none" w:sz="0" w:space="0" w:color="auto"/>
        <w:right w:val="none" w:sz="0" w:space="0" w:color="auto"/>
      </w:divBdr>
    </w:div>
    <w:div w:id="545920150">
      <w:bodyDiv w:val="1"/>
      <w:marLeft w:val="0"/>
      <w:marRight w:val="0"/>
      <w:marTop w:val="0"/>
      <w:marBottom w:val="0"/>
      <w:divBdr>
        <w:top w:val="none" w:sz="0" w:space="0" w:color="auto"/>
        <w:left w:val="none" w:sz="0" w:space="0" w:color="auto"/>
        <w:bottom w:val="none" w:sz="0" w:space="0" w:color="auto"/>
        <w:right w:val="none" w:sz="0" w:space="0" w:color="auto"/>
      </w:divBdr>
    </w:div>
    <w:div w:id="581718823">
      <w:bodyDiv w:val="1"/>
      <w:marLeft w:val="0"/>
      <w:marRight w:val="0"/>
      <w:marTop w:val="0"/>
      <w:marBottom w:val="0"/>
      <w:divBdr>
        <w:top w:val="none" w:sz="0" w:space="0" w:color="auto"/>
        <w:left w:val="none" w:sz="0" w:space="0" w:color="auto"/>
        <w:bottom w:val="none" w:sz="0" w:space="0" w:color="auto"/>
        <w:right w:val="none" w:sz="0" w:space="0" w:color="auto"/>
      </w:divBdr>
      <w:divsChild>
        <w:div w:id="385761375">
          <w:marLeft w:val="0"/>
          <w:marRight w:val="0"/>
          <w:marTop w:val="0"/>
          <w:marBottom w:val="0"/>
          <w:divBdr>
            <w:top w:val="none" w:sz="0" w:space="0" w:color="auto"/>
            <w:left w:val="none" w:sz="0" w:space="0" w:color="auto"/>
            <w:bottom w:val="none" w:sz="0" w:space="0" w:color="auto"/>
            <w:right w:val="none" w:sz="0" w:space="0" w:color="auto"/>
          </w:divBdr>
          <w:divsChild>
            <w:div w:id="754328149">
              <w:marLeft w:val="0"/>
              <w:marRight w:val="0"/>
              <w:marTop w:val="0"/>
              <w:marBottom w:val="0"/>
              <w:divBdr>
                <w:top w:val="none" w:sz="0" w:space="0" w:color="auto"/>
                <w:left w:val="none" w:sz="0" w:space="0" w:color="auto"/>
                <w:bottom w:val="none" w:sz="0" w:space="0" w:color="auto"/>
                <w:right w:val="none" w:sz="0" w:space="0" w:color="auto"/>
              </w:divBdr>
              <w:divsChild>
                <w:div w:id="1858612005">
                  <w:marLeft w:val="0"/>
                  <w:marRight w:val="0"/>
                  <w:marTop w:val="0"/>
                  <w:marBottom w:val="0"/>
                  <w:divBdr>
                    <w:top w:val="none" w:sz="0" w:space="0" w:color="auto"/>
                    <w:left w:val="none" w:sz="0" w:space="0" w:color="auto"/>
                    <w:bottom w:val="none" w:sz="0" w:space="0" w:color="auto"/>
                    <w:right w:val="none" w:sz="0" w:space="0" w:color="auto"/>
                  </w:divBdr>
                  <w:divsChild>
                    <w:div w:id="452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2190">
      <w:bodyDiv w:val="1"/>
      <w:marLeft w:val="0"/>
      <w:marRight w:val="0"/>
      <w:marTop w:val="0"/>
      <w:marBottom w:val="0"/>
      <w:divBdr>
        <w:top w:val="none" w:sz="0" w:space="0" w:color="auto"/>
        <w:left w:val="none" w:sz="0" w:space="0" w:color="auto"/>
        <w:bottom w:val="none" w:sz="0" w:space="0" w:color="auto"/>
        <w:right w:val="none" w:sz="0" w:space="0" w:color="auto"/>
      </w:divBdr>
      <w:divsChild>
        <w:div w:id="792940651">
          <w:marLeft w:val="0"/>
          <w:marRight w:val="0"/>
          <w:marTop w:val="0"/>
          <w:marBottom w:val="0"/>
          <w:divBdr>
            <w:top w:val="none" w:sz="0" w:space="0" w:color="auto"/>
            <w:left w:val="none" w:sz="0" w:space="0" w:color="auto"/>
            <w:bottom w:val="none" w:sz="0" w:space="0" w:color="auto"/>
            <w:right w:val="none" w:sz="0" w:space="0" w:color="auto"/>
          </w:divBdr>
          <w:divsChild>
            <w:div w:id="1784570404">
              <w:marLeft w:val="0"/>
              <w:marRight w:val="0"/>
              <w:marTop w:val="0"/>
              <w:marBottom w:val="0"/>
              <w:divBdr>
                <w:top w:val="none" w:sz="0" w:space="0" w:color="auto"/>
                <w:left w:val="none" w:sz="0" w:space="0" w:color="auto"/>
                <w:bottom w:val="none" w:sz="0" w:space="0" w:color="auto"/>
                <w:right w:val="none" w:sz="0" w:space="0" w:color="auto"/>
              </w:divBdr>
              <w:divsChild>
                <w:div w:id="1080524104">
                  <w:marLeft w:val="0"/>
                  <w:marRight w:val="0"/>
                  <w:marTop w:val="0"/>
                  <w:marBottom w:val="0"/>
                  <w:divBdr>
                    <w:top w:val="none" w:sz="0" w:space="0" w:color="auto"/>
                    <w:left w:val="none" w:sz="0" w:space="0" w:color="auto"/>
                    <w:bottom w:val="none" w:sz="0" w:space="0" w:color="auto"/>
                    <w:right w:val="none" w:sz="0" w:space="0" w:color="auto"/>
                  </w:divBdr>
                  <w:divsChild>
                    <w:div w:id="1124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6497">
      <w:bodyDiv w:val="1"/>
      <w:marLeft w:val="0"/>
      <w:marRight w:val="0"/>
      <w:marTop w:val="0"/>
      <w:marBottom w:val="0"/>
      <w:divBdr>
        <w:top w:val="none" w:sz="0" w:space="0" w:color="auto"/>
        <w:left w:val="none" w:sz="0" w:space="0" w:color="auto"/>
        <w:bottom w:val="none" w:sz="0" w:space="0" w:color="auto"/>
        <w:right w:val="none" w:sz="0" w:space="0" w:color="auto"/>
      </w:divBdr>
    </w:div>
    <w:div w:id="889652567">
      <w:bodyDiv w:val="1"/>
      <w:marLeft w:val="0"/>
      <w:marRight w:val="0"/>
      <w:marTop w:val="0"/>
      <w:marBottom w:val="0"/>
      <w:divBdr>
        <w:top w:val="none" w:sz="0" w:space="0" w:color="auto"/>
        <w:left w:val="none" w:sz="0" w:space="0" w:color="auto"/>
        <w:bottom w:val="none" w:sz="0" w:space="0" w:color="auto"/>
        <w:right w:val="none" w:sz="0" w:space="0" w:color="auto"/>
      </w:divBdr>
    </w:div>
    <w:div w:id="982543334">
      <w:bodyDiv w:val="1"/>
      <w:marLeft w:val="0"/>
      <w:marRight w:val="0"/>
      <w:marTop w:val="0"/>
      <w:marBottom w:val="0"/>
      <w:divBdr>
        <w:top w:val="none" w:sz="0" w:space="0" w:color="auto"/>
        <w:left w:val="none" w:sz="0" w:space="0" w:color="auto"/>
        <w:bottom w:val="none" w:sz="0" w:space="0" w:color="auto"/>
        <w:right w:val="none" w:sz="0" w:space="0" w:color="auto"/>
      </w:divBdr>
    </w:div>
    <w:div w:id="1034889808">
      <w:bodyDiv w:val="1"/>
      <w:marLeft w:val="0"/>
      <w:marRight w:val="0"/>
      <w:marTop w:val="0"/>
      <w:marBottom w:val="0"/>
      <w:divBdr>
        <w:top w:val="none" w:sz="0" w:space="0" w:color="auto"/>
        <w:left w:val="none" w:sz="0" w:space="0" w:color="auto"/>
        <w:bottom w:val="none" w:sz="0" w:space="0" w:color="auto"/>
        <w:right w:val="none" w:sz="0" w:space="0" w:color="auto"/>
      </w:divBdr>
      <w:divsChild>
        <w:div w:id="1699577419">
          <w:marLeft w:val="0"/>
          <w:marRight w:val="0"/>
          <w:marTop w:val="0"/>
          <w:marBottom w:val="0"/>
          <w:divBdr>
            <w:top w:val="none" w:sz="0" w:space="0" w:color="auto"/>
            <w:left w:val="none" w:sz="0" w:space="0" w:color="auto"/>
            <w:bottom w:val="none" w:sz="0" w:space="0" w:color="auto"/>
            <w:right w:val="none" w:sz="0" w:space="0" w:color="auto"/>
          </w:divBdr>
          <w:divsChild>
            <w:div w:id="684288490">
              <w:marLeft w:val="0"/>
              <w:marRight w:val="0"/>
              <w:marTop w:val="0"/>
              <w:marBottom w:val="0"/>
              <w:divBdr>
                <w:top w:val="none" w:sz="0" w:space="0" w:color="auto"/>
                <w:left w:val="none" w:sz="0" w:space="0" w:color="auto"/>
                <w:bottom w:val="none" w:sz="0" w:space="0" w:color="auto"/>
                <w:right w:val="none" w:sz="0" w:space="0" w:color="auto"/>
              </w:divBdr>
              <w:divsChild>
                <w:div w:id="9200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5313">
      <w:bodyDiv w:val="1"/>
      <w:marLeft w:val="0"/>
      <w:marRight w:val="0"/>
      <w:marTop w:val="0"/>
      <w:marBottom w:val="0"/>
      <w:divBdr>
        <w:top w:val="none" w:sz="0" w:space="0" w:color="auto"/>
        <w:left w:val="none" w:sz="0" w:space="0" w:color="auto"/>
        <w:bottom w:val="none" w:sz="0" w:space="0" w:color="auto"/>
        <w:right w:val="none" w:sz="0" w:space="0" w:color="auto"/>
      </w:divBdr>
    </w:div>
    <w:div w:id="1179856107">
      <w:bodyDiv w:val="1"/>
      <w:marLeft w:val="0"/>
      <w:marRight w:val="0"/>
      <w:marTop w:val="0"/>
      <w:marBottom w:val="0"/>
      <w:divBdr>
        <w:top w:val="none" w:sz="0" w:space="0" w:color="auto"/>
        <w:left w:val="none" w:sz="0" w:space="0" w:color="auto"/>
        <w:bottom w:val="none" w:sz="0" w:space="0" w:color="auto"/>
        <w:right w:val="none" w:sz="0" w:space="0" w:color="auto"/>
      </w:divBdr>
    </w:div>
    <w:div w:id="1183670735">
      <w:bodyDiv w:val="1"/>
      <w:marLeft w:val="0"/>
      <w:marRight w:val="0"/>
      <w:marTop w:val="0"/>
      <w:marBottom w:val="0"/>
      <w:divBdr>
        <w:top w:val="none" w:sz="0" w:space="0" w:color="auto"/>
        <w:left w:val="none" w:sz="0" w:space="0" w:color="auto"/>
        <w:bottom w:val="none" w:sz="0" w:space="0" w:color="auto"/>
        <w:right w:val="none" w:sz="0" w:space="0" w:color="auto"/>
      </w:divBdr>
      <w:divsChild>
        <w:div w:id="52975080">
          <w:marLeft w:val="0"/>
          <w:marRight w:val="0"/>
          <w:marTop w:val="0"/>
          <w:marBottom w:val="0"/>
          <w:divBdr>
            <w:top w:val="none" w:sz="0" w:space="0" w:color="auto"/>
            <w:left w:val="none" w:sz="0" w:space="0" w:color="auto"/>
            <w:bottom w:val="none" w:sz="0" w:space="0" w:color="auto"/>
            <w:right w:val="none" w:sz="0" w:space="0" w:color="auto"/>
          </w:divBdr>
          <w:divsChild>
            <w:div w:id="1477145405">
              <w:marLeft w:val="0"/>
              <w:marRight w:val="0"/>
              <w:marTop w:val="0"/>
              <w:marBottom w:val="0"/>
              <w:divBdr>
                <w:top w:val="none" w:sz="0" w:space="0" w:color="auto"/>
                <w:left w:val="none" w:sz="0" w:space="0" w:color="auto"/>
                <w:bottom w:val="none" w:sz="0" w:space="0" w:color="auto"/>
                <w:right w:val="none" w:sz="0" w:space="0" w:color="auto"/>
              </w:divBdr>
              <w:divsChild>
                <w:div w:id="1009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2758">
      <w:bodyDiv w:val="1"/>
      <w:marLeft w:val="0"/>
      <w:marRight w:val="0"/>
      <w:marTop w:val="0"/>
      <w:marBottom w:val="0"/>
      <w:divBdr>
        <w:top w:val="none" w:sz="0" w:space="0" w:color="auto"/>
        <w:left w:val="none" w:sz="0" w:space="0" w:color="auto"/>
        <w:bottom w:val="none" w:sz="0" w:space="0" w:color="auto"/>
        <w:right w:val="none" w:sz="0" w:space="0" w:color="auto"/>
      </w:divBdr>
    </w:div>
    <w:div w:id="1222256596">
      <w:bodyDiv w:val="1"/>
      <w:marLeft w:val="0"/>
      <w:marRight w:val="0"/>
      <w:marTop w:val="0"/>
      <w:marBottom w:val="0"/>
      <w:divBdr>
        <w:top w:val="none" w:sz="0" w:space="0" w:color="auto"/>
        <w:left w:val="none" w:sz="0" w:space="0" w:color="auto"/>
        <w:bottom w:val="none" w:sz="0" w:space="0" w:color="auto"/>
        <w:right w:val="none" w:sz="0" w:space="0" w:color="auto"/>
      </w:divBdr>
    </w:div>
    <w:div w:id="1282296831">
      <w:bodyDiv w:val="1"/>
      <w:marLeft w:val="0"/>
      <w:marRight w:val="0"/>
      <w:marTop w:val="0"/>
      <w:marBottom w:val="0"/>
      <w:divBdr>
        <w:top w:val="none" w:sz="0" w:space="0" w:color="auto"/>
        <w:left w:val="none" w:sz="0" w:space="0" w:color="auto"/>
        <w:bottom w:val="none" w:sz="0" w:space="0" w:color="auto"/>
        <w:right w:val="none" w:sz="0" w:space="0" w:color="auto"/>
      </w:divBdr>
    </w:div>
    <w:div w:id="1398554461">
      <w:bodyDiv w:val="1"/>
      <w:marLeft w:val="0"/>
      <w:marRight w:val="0"/>
      <w:marTop w:val="0"/>
      <w:marBottom w:val="0"/>
      <w:divBdr>
        <w:top w:val="none" w:sz="0" w:space="0" w:color="auto"/>
        <w:left w:val="none" w:sz="0" w:space="0" w:color="auto"/>
        <w:bottom w:val="none" w:sz="0" w:space="0" w:color="auto"/>
        <w:right w:val="none" w:sz="0" w:space="0" w:color="auto"/>
      </w:divBdr>
      <w:divsChild>
        <w:div w:id="1965382137">
          <w:marLeft w:val="0"/>
          <w:marRight w:val="0"/>
          <w:marTop w:val="0"/>
          <w:marBottom w:val="0"/>
          <w:divBdr>
            <w:top w:val="none" w:sz="0" w:space="0" w:color="auto"/>
            <w:left w:val="none" w:sz="0" w:space="0" w:color="auto"/>
            <w:bottom w:val="none" w:sz="0" w:space="0" w:color="auto"/>
            <w:right w:val="none" w:sz="0" w:space="0" w:color="auto"/>
          </w:divBdr>
          <w:divsChild>
            <w:div w:id="808978339">
              <w:marLeft w:val="0"/>
              <w:marRight w:val="0"/>
              <w:marTop w:val="0"/>
              <w:marBottom w:val="0"/>
              <w:divBdr>
                <w:top w:val="none" w:sz="0" w:space="0" w:color="auto"/>
                <w:left w:val="none" w:sz="0" w:space="0" w:color="auto"/>
                <w:bottom w:val="none" w:sz="0" w:space="0" w:color="auto"/>
                <w:right w:val="none" w:sz="0" w:space="0" w:color="auto"/>
              </w:divBdr>
              <w:divsChild>
                <w:div w:id="551043828">
                  <w:marLeft w:val="0"/>
                  <w:marRight w:val="0"/>
                  <w:marTop w:val="0"/>
                  <w:marBottom w:val="0"/>
                  <w:divBdr>
                    <w:top w:val="none" w:sz="0" w:space="0" w:color="auto"/>
                    <w:left w:val="none" w:sz="0" w:space="0" w:color="auto"/>
                    <w:bottom w:val="none" w:sz="0" w:space="0" w:color="auto"/>
                    <w:right w:val="none" w:sz="0" w:space="0" w:color="auto"/>
                  </w:divBdr>
                  <w:divsChild>
                    <w:div w:id="14292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51194">
      <w:bodyDiv w:val="1"/>
      <w:marLeft w:val="0"/>
      <w:marRight w:val="0"/>
      <w:marTop w:val="0"/>
      <w:marBottom w:val="0"/>
      <w:divBdr>
        <w:top w:val="none" w:sz="0" w:space="0" w:color="auto"/>
        <w:left w:val="none" w:sz="0" w:space="0" w:color="auto"/>
        <w:bottom w:val="none" w:sz="0" w:space="0" w:color="auto"/>
        <w:right w:val="none" w:sz="0" w:space="0" w:color="auto"/>
      </w:divBdr>
    </w:div>
    <w:div w:id="1487817812">
      <w:bodyDiv w:val="1"/>
      <w:marLeft w:val="0"/>
      <w:marRight w:val="0"/>
      <w:marTop w:val="0"/>
      <w:marBottom w:val="0"/>
      <w:divBdr>
        <w:top w:val="none" w:sz="0" w:space="0" w:color="auto"/>
        <w:left w:val="none" w:sz="0" w:space="0" w:color="auto"/>
        <w:bottom w:val="none" w:sz="0" w:space="0" w:color="auto"/>
        <w:right w:val="none" w:sz="0" w:space="0" w:color="auto"/>
      </w:divBdr>
    </w:div>
    <w:div w:id="1655723342">
      <w:bodyDiv w:val="1"/>
      <w:marLeft w:val="0"/>
      <w:marRight w:val="0"/>
      <w:marTop w:val="0"/>
      <w:marBottom w:val="0"/>
      <w:divBdr>
        <w:top w:val="none" w:sz="0" w:space="0" w:color="auto"/>
        <w:left w:val="none" w:sz="0" w:space="0" w:color="auto"/>
        <w:bottom w:val="none" w:sz="0" w:space="0" w:color="auto"/>
        <w:right w:val="none" w:sz="0" w:space="0" w:color="auto"/>
      </w:divBdr>
    </w:div>
    <w:div w:id="1712917142">
      <w:bodyDiv w:val="1"/>
      <w:marLeft w:val="0"/>
      <w:marRight w:val="0"/>
      <w:marTop w:val="0"/>
      <w:marBottom w:val="0"/>
      <w:divBdr>
        <w:top w:val="none" w:sz="0" w:space="0" w:color="auto"/>
        <w:left w:val="none" w:sz="0" w:space="0" w:color="auto"/>
        <w:bottom w:val="none" w:sz="0" w:space="0" w:color="auto"/>
        <w:right w:val="none" w:sz="0" w:space="0" w:color="auto"/>
      </w:divBdr>
    </w:div>
    <w:div w:id="1756979457">
      <w:bodyDiv w:val="1"/>
      <w:marLeft w:val="0"/>
      <w:marRight w:val="0"/>
      <w:marTop w:val="0"/>
      <w:marBottom w:val="0"/>
      <w:divBdr>
        <w:top w:val="none" w:sz="0" w:space="0" w:color="auto"/>
        <w:left w:val="none" w:sz="0" w:space="0" w:color="auto"/>
        <w:bottom w:val="none" w:sz="0" w:space="0" w:color="auto"/>
        <w:right w:val="none" w:sz="0" w:space="0" w:color="auto"/>
      </w:divBdr>
    </w:div>
    <w:div w:id="1947695409">
      <w:bodyDiv w:val="1"/>
      <w:marLeft w:val="0"/>
      <w:marRight w:val="0"/>
      <w:marTop w:val="0"/>
      <w:marBottom w:val="0"/>
      <w:divBdr>
        <w:top w:val="none" w:sz="0" w:space="0" w:color="auto"/>
        <w:left w:val="none" w:sz="0" w:space="0" w:color="auto"/>
        <w:bottom w:val="none" w:sz="0" w:space="0" w:color="auto"/>
        <w:right w:val="none" w:sz="0" w:space="0" w:color="auto"/>
      </w:divBdr>
    </w:div>
    <w:div w:id="1981838618">
      <w:bodyDiv w:val="1"/>
      <w:marLeft w:val="0"/>
      <w:marRight w:val="0"/>
      <w:marTop w:val="0"/>
      <w:marBottom w:val="0"/>
      <w:divBdr>
        <w:top w:val="none" w:sz="0" w:space="0" w:color="auto"/>
        <w:left w:val="none" w:sz="0" w:space="0" w:color="auto"/>
        <w:bottom w:val="none" w:sz="0" w:space="0" w:color="auto"/>
        <w:right w:val="none" w:sz="0" w:space="0" w:color="auto"/>
      </w:divBdr>
      <w:divsChild>
        <w:div w:id="1718166190">
          <w:marLeft w:val="0"/>
          <w:marRight w:val="0"/>
          <w:marTop w:val="0"/>
          <w:marBottom w:val="0"/>
          <w:divBdr>
            <w:top w:val="none" w:sz="0" w:space="0" w:color="auto"/>
            <w:left w:val="none" w:sz="0" w:space="0" w:color="auto"/>
            <w:bottom w:val="none" w:sz="0" w:space="0" w:color="auto"/>
            <w:right w:val="none" w:sz="0" w:space="0" w:color="auto"/>
          </w:divBdr>
          <w:divsChild>
            <w:div w:id="374888003">
              <w:marLeft w:val="0"/>
              <w:marRight w:val="0"/>
              <w:marTop w:val="0"/>
              <w:marBottom w:val="0"/>
              <w:divBdr>
                <w:top w:val="none" w:sz="0" w:space="0" w:color="auto"/>
                <w:left w:val="none" w:sz="0" w:space="0" w:color="auto"/>
                <w:bottom w:val="none" w:sz="0" w:space="0" w:color="auto"/>
                <w:right w:val="none" w:sz="0" w:space="0" w:color="auto"/>
              </w:divBdr>
              <w:divsChild>
                <w:div w:id="3421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sud.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prints.whiterose.ac.uk/114101/3/8-207-17_Topouzi%20et%20al_Paper020317.pdf" TargetMode="External"/><Relationship Id="rId13" Type="http://schemas.openxmlformats.org/officeDocument/2006/relationships/hyperlink" Target="https://maadm.leeds.ac.uk/" TargetMode="External"/><Relationship Id="rId3" Type="http://schemas.openxmlformats.org/officeDocument/2006/relationships/hyperlink" Target="https://www.universitiesuk.ac.uk/covid19/supporting-national-effort/Pages/we-are-together-%20campaign.aspx" TargetMode="External"/><Relationship Id="rId7" Type="http://schemas.openxmlformats.org/officeDocument/2006/relationships/hyperlink" Target="https://assets.publishing.service.gov.uk/government/uploads/system/uploads/attachment_data/file/578749/Each_Home_Counts__December_2016_.pdf" TargetMode="External"/><Relationship Id="rId12" Type="http://schemas.openxmlformats.org/officeDocument/2006/relationships/hyperlink" Target="https://www.theguardian.com/environment/2016/apr/14/green-deal-scheme-did-not-deliver-energy-savings-audit-finds" TargetMode="External"/><Relationship Id="rId2" Type="http://schemas.openxmlformats.org/officeDocument/2006/relationships/hyperlink" Target="https://yorkshireuniversities.ac.uk/2020/06/09/yorkshires-universities-are-crucial-to-the-regions-recovery/" TargetMode="External"/><Relationship Id="rId1" Type="http://schemas.openxmlformats.org/officeDocument/2006/relationships/hyperlink" Target="mailto:A.Brown@lubs.leeds.ac.uk" TargetMode="External"/><Relationship Id="rId6" Type="http://schemas.openxmlformats.org/officeDocument/2006/relationships/hyperlink" Target="https://www.sheffield.ac.uk/polopoly_fs/1.119440!/file/FinalRep.pdf" TargetMode="External"/><Relationship Id="rId11" Type="http://schemas.openxmlformats.org/officeDocument/2006/relationships/hyperlink" Target="https://www.gov.uk/green-deal-energy-saving-measures" TargetMode="External"/><Relationship Id="rId5" Type="http://schemas.openxmlformats.org/officeDocument/2006/relationships/hyperlink" Target="https://www.westyorks-ca.gov.uk/media/4277/west-yorkshire-carbon-emission-reduction-pathways-technical-report-draft-v7-1.pdf" TargetMode="External"/><Relationship Id="rId10" Type="http://schemas.openxmlformats.org/officeDocument/2006/relationships/hyperlink" Target="https://assets.publishing.service.gov.uk/government/uploads/system/uploads/attachment_data/file/578749/Each_Home_Counts__December_2016_.pdf" TargetMode="External"/><Relationship Id="rId4" Type="http://schemas.openxmlformats.org/officeDocument/2006/relationships/hyperlink" Target="https://www.instituteforsustainability.co.uk/uploads/File/2236_KeySummary03.pdf" TargetMode="External"/><Relationship Id="rId9" Type="http://schemas.openxmlformats.org/officeDocument/2006/relationships/hyperlink" Target="https://www.sheffield.ac.uk/polopoly_fs/1.119440!/file/FinalRe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31A924F019D479FC2F1BC54E2F2F7" ma:contentTypeVersion="13" ma:contentTypeDescription="Create a new document." ma:contentTypeScope="" ma:versionID="0ba7484d3879cd33410b2171922af899">
  <xsd:schema xmlns:xsd="http://www.w3.org/2001/XMLSchema" xmlns:xs="http://www.w3.org/2001/XMLSchema" xmlns:p="http://schemas.microsoft.com/office/2006/metadata/properties" xmlns:ns3="85876848-dbc7-4d30-952b-bd793d5a5fcd" xmlns:ns4="97083713-82e8-4cb3-8e28-a5f9c2954aa0" targetNamespace="http://schemas.microsoft.com/office/2006/metadata/properties" ma:root="true" ma:fieldsID="5b45c5df535bfa5cc1801baa83dd702b" ns3:_="" ns4:_="">
    <xsd:import namespace="85876848-dbc7-4d30-952b-bd793d5a5fcd"/>
    <xsd:import namespace="97083713-82e8-4cb3-8e28-a5f9c2954a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76848-dbc7-4d30-952b-bd793d5a5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83713-82e8-4cb3-8e28-a5f9c2954a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24A46-2913-4E4A-A074-24351737A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76848-dbc7-4d30-952b-bd793d5a5fcd"/>
    <ds:schemaRef ds:uri="97083713-82e8-4cb3-8e28-a5f9c295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73578-00D1-4AA1-AD28-B43B9AD414E2}">
  <ds:schemaRefs>
    <ds:schemaRef ds:uri="http://schemas.openxmlformats.org/officeDocument/2006/bibliography"/>
  </ds:schemaRefs>
</ds:datastoreItem>
</file>

<file path=customXml/itemProps3.xml><?xml version="1.0" encoding="utf-8"?>
<ds:datastoreItem xmlns:ds="http://schemas.openxmlformats.org/officeDocument/2006/customXml" ds:itemID="{9543ED54-A5DA-43A0-A9B3-BB95B5CF09CE}">
  <ds:schemaRefs>
    <ds:schemaRef ds:uri="http://schemas.microsoft.com/sharepoint/v3/contenttype/forms"/>
  </ds:schemaRefs>
</ds:datastoreItem>
</file>

<file path=customXml/itemProps4.xml><?xml version="1.0" encoding="utf-8"?>
<ds:datastoreItem xmlns:ds="http://schemas.openxmlformats.org/officeDocument/2006/customXml" ds:itemID="{66759F22-03A7-41B8-A6D6-6A3AE671C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 [LUBS]</dc:creator>
  <cp:keywords/>
  <dc:description/>
  <cp:lastModifiedBy>G.Hardcastle U1774942</cp:lastModifiedBy>
  <cp:revision>2</cp:revision>
  <dcterms:created xsi:type="dcterms:W3CDTF">2020-11-15T11:57:00Z</dcterms:created>
  <dcterms:modified xsi:type="dcterms:W3CDTF">2020-11-15T11:57:00Z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0x0101007C731A924F019D479FC2F1BC54E2F2F7</vt:lpwstr>
  </property>
</Properties>
</file>